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71" w:rsidRDefault="00CC3471" w:rsidP="00CC3471">
      <w:pPr>
        <w:pStyle w:val="Heading10"/>
        <w:keepNext/>
        <w:keepLines/>
        <w:shd w:val="clear" w:color="auto" w:fill="auto"/>
        <w:spacing w:line="220" w:lineRule="exact"/>
        <w:ind w:firstLine="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REPUBLIKA HRVATSKA</w:t>
      </w:r>
      <w:bookmarkEnd w:id="0"/>
    </w:p>
    <w:p w:rsidR="00CC3471" w:rsidRDefault="00CC3471" w:rsidP="00CC347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ZADARSKA ŽUPANIJA</w:t>
      </w:r>
    </w:p>
    <w:p w:rsidR="00CC3471" w:rsidRDefault="00CC3471" w:rsidP="00CC3471">
      <w:pPr>
        <w:pStyle w:val="Bezproreda"/>
        <w:rPr>
          <w:rStyle w:val="Bodytext2Bold"/>
          <w:rFonts w:eastAsia="Arial Unicode MS"/>
          <w:sz w:val="24"/>
          <w:szCs w:val="24"/>
        </w:rPr>
      </w:pPr>
      <w:r>
        <w:rPr>
          <w:rStyle w:val="Bodytext2Bold"/>
          <w:rFonts w:eastAsia="Arial Unicode MS"/>
          <w:sz w:val="24"/>
          <w:szCs w:val="24"/>
        </w:rPr>
        <w:t>OPĆINA PREKO</w:t>
      </w:r>
    </w:p>
    <w:p w:rsidR="00CC3471" w:rsidRDefault="00CC3471" w:rsidP="00CC3471">
      <w:pPr>
        <w:pStyle w:val="Bezproreda"/>
      </w:pPr>
      <w:r>
        <w:rPr>
          <w:rStyle w:val="Bodytext2Bold"/>
          <w:rFonts w:eastAsia="Arial Unicode MS"/>
          <w:sz w:val="24"/>
          <w:szCs w:val="24"/>
        </w:rPr>
        <w:t>KLASA:400-01/2</w:t>
      </w:r>
      <w:r w:rsidR="005539DB">
        <w:rPr>
          <w:rStyle w:val="Bodytext2Bold"/>
          <w:rFonts w:eastAsia="Arial Unicode MS"/>
          <w:sz w:val="24"/>
          <w:szCs w:val="24"/>
        </w:rPr>
        <w:t>1</w:t>
      </w:r>
      <w:r>
        <w:rPr>
          <w:rStyle w:val="Bodytext2Bold"/>
          <w:rFonts w:eastAsia="Arial Unicode MS"/>
          <w:sz w:val="24"/>
          <w:szCs w:val="24"/>
        </w:rPr>
        <w:t>-01/01</w:t>
      </w:r>
    </w:p>
    <w:tbl>
      <w:tblPr>
        <w:tblpPr w:leftFromText="180" w:rightFromText="180" w:bottomFromText="200" w:horzAnchor="page" w:tblpX="1911" w:tblpY="3810"/>
        <w:tblOverlap w:val="never"/>
        <w:tblW w:w="6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122"/>
        <w:gridCol w:w="3176"/>
      </w:tblGrid>
      <w:tr w:rsidR="00CC3471" w:rsidTr="00CC3471">
        <w:trPr>
          <w:trHeight w:hRule="exact" w:val="667"/>
        </w:trPr>
        <w:tc>
          <w:tcPr>
            <w:tcW w:w="3784" w:type="dxa"/>
            <w:gridSpan w:val="2"/>
            <w:shd w:val="clear" w:color="auto" w:fill="FFFFFF"/>
            <w:vAlign w:val="center"/>
          </w:tcPr>
          <w:p w:rsidR="00CC3471" w:rsidRDefault="00CC3471">
            <w:pPr>
              <w:spacing w:line="220" w:lineRule="exact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I. UVOD</w:t>
            </w:r>
          </w:p>
          <w:p w:rsidR="00CC3471" w:rsidRDefault="00CC3471">
            <w:pPr>
              <w:spacing w:line="220" w:lineRule="exact"/>
              <w:rPr>
                <w:lang w:eastAsia="en-US"/>
              </w:rPr>
            </w:pPr>
          </w:p>
        </w:tc>
        <w:tc>
          <w:tcPr>
            <w:tcW w:w="3176" w:type="dxa"/>
            <w:shd w:val="clear" w:color="auto" w:fill="FFFFFF"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C3471" w:rsidTr="00CC3471">
        <w:trPr>
          <w:trHeight w:hRule="exact" w:val="413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1.</w:t>
            </w:r>
          </w:p>
        </w:tc>
        <w:tc>
          <w:tcPr>
            <w:tcW w:w="312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Naziv obveznika:</w:t>
            </w:r>
          </w:p>
        </w:tc>
        <w:tc>
          <w:tcPr>
            <w:tcW w:w="3176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OPĆINA PREKO</w:t>
            </w:r>
          </w:p>
        </w:tc>
      </w:tr>
      <w:tr w:rsidR="00CC3471" w:rsidTr="00CC3471">
        <w:trPr>
          <w:trHeight w:hRule="exact" w:val="278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2.</w:t>
            </w:r>
          </w:p>
        </w:tc>
        <w:tc>
          <w:tcPr>
            <w:tcW w:w="312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Sjedište obveznika:</w:t>
            </w:r>
          </w:p>
        </w:tc>
        <w:tc>
          <w:tcPr>
            <w:tcW w:w="3176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23 273 PREKO</w:t>
            </w:r>
          </w:p>
        </w:tc>
      </w:tr>
      <w:tr w:rsidR="00CC3471" w:rsidTr="00CC3471">
        <w:trPr>
          <w:trHeight w:hRule="exact" w:val="536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3.</w:t>
            </w:r>
          </w:p>
        </w:tc>
        <w:tc>
          <w:tcPr>
            <w:tcW w:w="312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Adresa sjedišta:</w:t>
            </w:r>
          </w:p>
        </w:tc>
        <w:tc>
          <w:tcPr>
            <w:tcW w:w="3176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Trg hrvatske nezavisnosti 2</w:t>
            </w:r>
          </w:p>
        </w:tc>
      </w:tr>
      <w:tr w:rsidR="00CC3471" w:rsidTr="00CC3471">
        <w:trPr>
          <w:trHeight w:hRule="exact" w:val="288"/>
        </w:trPr>
        <w:tc>
          <w:tcPr>
            <w:tcW w:w="662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4.</w:t>
            </w:r>
          </w:p>
        </w:tc>
        <w:tc>
          <w:tcPr>
            <w:tcW w:w="3122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Šifra općine</w:t>
            </w:r>
          </w:p>
        </w:tc>
        <w:tc>
          <w:tcPr>
            <w:tcW w:w="3176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354</w:t>
            </w:r>
          </w:p>
        </w:tc>
      </w:tr>
      <w:tr w:rsidR="00CC3471" w:rsidTr="00CC3471">
        <w:trPr>
          <w:trHeight w:hRule="exact" w:val="254"/>
        </w:trPr>
        <w:tc>
          <w:tcPr>
            <w:tcW w:w="662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5.</w:t>
            </w:r>
          </w:p>
        </w:tc>
        <w:tc>
          <w:tcPr>
            <w:tcW w:w="3122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Broj RKP-a:</w:t>
            </w:r>
          </w:p>
        </w:tc>
        <w:tc>
          <w:tcPr>
            <w:tcW w:w="3176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35079</w:t>
            </w:r>
          </w:p>
        </w:tc>
      </w:tr>
      <w:tr w:rsidR="00CC3471" w:rsidTr="00CC3471">
        <w:trPr>
          <w:trHeight w:hRule="exact" w:val="274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6.</w:t>
            </w:r>
          </w:p>
        </w:tc>
        <w:tc>
          <w:tcPr>
            <w:tcW w:w="312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Matični broj:</w:t>
            </w:r>
          </w:p>
        </w:tc>
        <w:tc>
          <w:tcPr>
            <w:tcW w:w="3176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02544296</w:t>
            </w:r>
          </w:p>
        </w:tc>
      </w:tr>
      <w:tr w:rsidR="00CC3471" w:rsidTr="00CC3471">
        <w:trPr>
          <w:trHeight w:hRule="exact" w:val="274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7.</w:t>
            </w:r>
          </w:p>
        </w:tc>
        <w:tc>
          <w:tcPr>
            <w:tcW w:w="312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OIB:</w:t>
            </w:r>
          </w:p>
        </w:tc>
        <w:tc>
          <w:tcPr>
            <w:tcW w:w="3176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13458425443</w:t>
            </w:r>
          </w:p>
        </w:tc>
      </w:tr>
      <w:tr w:rsidR="00CC3471" w:rsidTr="00CC3471">
        <w:trPr>
          <w:trHeight w:hRule="exact" w:val="274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8.</w:t>
            </w:r>
          </w:p>
        </w:tc>
        <w:tc>
          <w:tcPr>
            <w:tcW w:w="312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Razina:</w:t>
            </w:r>
          </w:p>
        </w:tc>
        <w:tc>
          <w:tcPr>
            <w:tcW w:w="3176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22</w:t>
            </w:r>
          </w:p>
        </w:tc>
      </w:tr>
      <w:tr w:rsidR="00CC3471" w:rsidTr="00CC3471">
        <w:trPr>
          <w:trHeight w:hRule="exact" w:val="298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9.</w:t>
            </w:r>
          </w:p>
        </w:tc>
        <w:tc>
          <w:tcPr>
            <w:tcW w:w="312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Razdjel:</w:t>
            </w:r>
          </w:p>
        </w:tc>
        <w:tc>
          <w:tcPr>
            <w:tcW w:w="3176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000</w:t>
            </w:r>
          </w:p>
        </w:tc>
      </w:tr>
      <w:tr w:rsidR="00CC3471" w:rsidTr="00CC3471">
        <w:trPr>
          <w:trHeight w:hRule="exact" w:val="269"/>
        </w:trPr>
        <w:tc>
          <w:tcPr>
            <w:tcW w:w="662" w:type="dxa"/>
            <w:shd w:val="clear" w:color="auto" w:fill="FFFFFF"/>
            <w:vAlign w:val="bottom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10.</w:t>
            </w:r>
          </w:p>
        </w:tc>
        <w:tc>
          <w:tcPr>
            <w:tcW w:w="3122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Šifra djelatnosti- NKD 2007:</w:t>
            </w:r>
          </w:p>
        </w:tc>
        <w:tc>
          <w:tcPr>
            <w:tcW w:w="3176" w:type="dxa"/>
            <w:shd w:val="clear" w:color="auto" w:fill="FFFFFF"/>
            <w:hideMark/>
          </w:tcPr>
          <w:p w:rsidR="00CC3471" w:rsidRDefault="00CC3471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8411</w:t>
            </w:r>
          </w:p>
        </w:tc>
      </w:tr>
      <w:tr w:rsidR="00CC3471" w:rsidTr="00CC3471">
        <w:trPr>
          <w:trHeight w:hRule="exact" w:val="288"/>
        </w:trPr>
        <w:tc>
          <w:tcPr>
            <w:tcW w:w="3784" w:type="dxa"/>
            <w:gridSpan w:val="2"/>
            <w:shd w:val="clear" w:color="auto" w:fill="FFFFFF"/>
            <w:hideMark/>
          </w:tcPr>
          <w:p w:rsidR="00CC3471" w:rsidRDefault="00CC3471">
            <w:pPr>
              <w:spacing w:line="22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"/>
                <w:rFonts w:eastAsia="Arial Unicode MS"/>
                <w:b/>
              </w:rPr>
              <w:t>11.       Razdoblje</w:t>
            </w:r>
            <w:r>
              <w:rPr>
                <w:rStyle w:val="Bodytext2Bold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3176" w:type="dxa"/>
            <w:shd w:val="clear" w:color="auto" w:fill="FFFFFF"/>
            <w:hideMark/>
          </w:tcPr>
          <w:p w:rsidR="00CC3471" w:rsidRDefault="00CC3471" w:rsidP="007820CF">
            <w:pPr>
              <w:spacing w:line="220" w:lineRule="exact"/>
              <w:ind w:left="380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01. 01. - 31. 12. 20</w:t>
            </w:r>
            <w:r w:rsidR="007820CF">
              <w:rPr>
                <w:rStyle w:val="Bodytext2Bold"/>
                <w:rFonts w:eastAsia="Arial Unicode MS"/>
                <w:sz w:val="24"/>
                <w:szCs w:val="24"/>
              </w:rPr>
              <w:t>20</w:t>
            </w:r>
            <w:r>
              <w:rPr>
                <w:rStyle w:val="Bodytext2Bold"/>
                <w:rFonts w:eastAsia="Arial Unicode MS"/>
                <w:sz w:val="24"/>
                <w:szCs w:val="24"/>
              </w:rPr>
              <w:t>.</w:t>
            </w:r>
          </w:p>
        </w:tc>
      </w:tr>
    </w:tbl>
    <w:p w:rsidR="00CC3471" w:rsidRDefault="00CC3471" w:rsidP="00CC34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UR.BR:2198/13-02/1-2</w:t>
      </w:r>
      <w:r w:rsidR="005539D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-1</w:t>
      </w:r>
    </w:p>
    <w:p w:rsidR="00CC3471" w:rsidRDefault="00CC3471" w:rsidP="00CC34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Preko, </w:t>
      </w:r>
      <w:r w:rsidR="005539DB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.veljače 202</w:t>
      </w:r>
      <w:r w:rsidR="007820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g.</w:t>
      </w: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framePr w:w="6961" w:wrap="notBeside" w:vAnchor="text" w:hAnchor="page" w:x="1726" w:y="306"/>
        <w:rPr>
          <w:rFonts w:ascii="Times New Roman" w:hAnsi="Times New Roman"/>
          <w:b/>
        </w:rPr>
      </w:pPr>
    </w:p>
    <w:p w:rsidR="00CC3471" w:rsidRDefault="00CC3471" w:rsidP="00CC3471">
      <w:pPr>
        <w:pStyle w:val="Tablecaption20"/>
        <w:framePr w:w="6961" w:wrap="notBeside" w:vAnchor="text" w:hAnchor="page" w:x="1831" w:y="461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BILJEŠKE </w:t>
      </w:r>
      <w:r>
        <w:rPr>
          <w:rStyle w:val="Bodytext2"/>
          <w:sz w:val="24"/>
          <w:szCs w:val="24"/>
        </w:rPr>
        <w:t>uz Financijsko izvješće za 20</w:t>
      </w:r>
      <w:r w:rsidR="007820CF">
        <w:rPr>
          <w:rStyle w:val="Bodytext2"/>
          <w:sz w:val="24"/>
          <w:szCs w:val="24"/>
        </w:rPr>
        <w:t>20</w:t>
      </w:r>
      <w:r>
        <w:rPr>
          <w:rStyle w:val="Bodytext2"/>
          <w:sz w:val="24"/>
          <w:szCs w:val="24"/>
        </w:rPr>
        <w:t>.g.</w:t>
      </w: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  <w:b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Bilješke uz financijske izvještaje prema čl. 13. Pravilnika o financijskom izvještavanju u proračunskom računovodstvu dopuna su podataka uz financijske izvještaje.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Općina Preko kao jedinica lokalne i područne (regionalne) samouprave obveznik je predavanja financijskih izvještaja i to obrazaca :</w:t>
      </w:r>
    </w:p>
    <w:p w:rsidR="00CC3471" w:rsidRDefault="00CC3471" w:rsidP="00CC3471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Bilanca – obrazac BIL</w:t>
      </w:r>
    </w:p>
    <w:p w:rsidR="00CC3471" w:rsidRDefault="00CC3471" w:rsidP="00CC3471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Izvještaj o prihodima i rashodima, primicima i izdacima – obrazac PR-RAS</w:t>
      </w:r>
    </w:p>
    <w:p w:rsidR="00CC3471" w:rsidRDefault="00CC3471" w:rsidP="00CC3471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Izvještaj o rashodima prema funkcijskoj klasifikaciji – obrazac RAS-funkcijski</w:t>
      </w:r>
    </w:p>
    <w:p w:rsidR="00CC3471" w:rsidRDefault="00CC3471" w:rsidP="00CC3471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Izvještaj o obvezama – obrazac OBVEZE</w:t>
      </w:r>
    </w:p>
    <w:p w:rsidR="00CC3471" w:rsidRDefault="00CC3471" w:rsidP="00CC3471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Izvještaj o promjenama u vrijednosti i obujmu imovine – obrazac P-VRIO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Financijski izvještaju sastavljeni su prema naputku tj. Okružnici o predaji financijskih izvještaja jedinica lokalne i područne (regionalne) samouprave, proračunskih i izvanproračunskih korisnika proračuna jedinica lokalne i područne (regionalne) samouprave za razdoblje od 1. siječnja do 31. prosinca 20</w:t>
      </w:r>
      <w:r w:rsidR="007820CF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godine upućen od strane Ministarstva financija.</w:t>
      </w: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Bilješke uz pojedine pozicije Bilance </w:t>
      </w:r>
      <w:r>
        <w:rPr>
          <w:rFonts w:ascii="Times New Roman" w:hAnsi="Times New Roman"/>
        </w:rPr>
        <w:t>: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Bilanca je sustavni, vrijednosno iskazan pregled imovine, obveza i vlastitih izvora na određeni dan (za proračunsku godinu na dan 31. prosinca). U bilanci mora postojati ravnoteža odnosno jednakost između imovine tj. aktive i obveza i vlastitih izvora tj. pasive. </w:t>
      </w: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Imovina se odnosi na nefinancijsku i financijsku imovinu.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Pr="006C0161" w:rsidRDefault="00CC3471" w:rsidP="006C0161">
      <w:pPr>
        <w:widowControl/>
        <w:rPr>
          <w:rFonts w:ascii="Arial" w:hAnsi="Arial" w:cs="Arial"/>
          <w:b/>
          <w:bCs/>
          <w:sz w:val="18"/>
          <w:szCs w:val="18"/>
          <w:lang w:bidi="ar-SA"/>
        </w:rPr>
      </w:pPr>
      <w:r>
        <w:rPr>
          <w:rFonts w:ascii="Times New Roman" w:hAnsi="Times New Roman"/>
        </w:rPr>
        <w:t>Ukupna vrijednost imovine Općine Preko u 20</w:t>
      </w:r>
      <w:r w:rsidR="007820C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godini iznosi </w:t>
      </w:r>
      <w:r w:rsidR="003E5279">
        <w:rPr>
          <w:rFonts w:ascii="Times New Roman" w:hAnsi="Times New Roman"/>
        </w:rPr>
        <w:t>60.527.428,44</w:t>
      </w:r>
      <w:r>
        <w:rPr>
          <w:rFonts w:ascii="Times New Roman" w:hAnsi="Times New Roman"/>
        </w:rPr>
        <w:t xml:space="preserve"> kn (AOP 001), od čega nefinancijska imovina (AOP 002) iznosi </w:t>
      </w:r>
      <w:r w:rsidR="003E5279" w:rsidRPr="003E5279">
        <w:rPr>
          <w:rFonts w:ascii="Times New Roman" w:hAnsi="Times New Roman"/>
          <w:bCs/>
          <w:lang w:bidi="ar-SA"/>
        </w:rPr>
        <w:t>46.330.064,53</w:t>
      </w:r>
      <w:r w:rsidR="006C0161">
        <w:rPr>
          <w:rFonts w:ascii="Arial" w:hAnsi="Arial" w:cs="Arial"/>
          <w:b/>
          <w:bCs/>
          <w:sz w:val="18"/>
          <w:szCs w:val="18"/>
          <w:lang w:bidi="ar-SA"/>
        </w:rPr>
        <w:t xml:space="preserve"> </w:t>
      </w:r>
      <w:r>
        <w:rPr>
          <w:rFonts w:ascii="Times New Roman" w:hAnsi="Times New Roman"/>
        </w:rPr>
        <w:t xml:space="preserve">kn, a financijska imovina ( AOP 063) iznosi </w:t>
      </w:r>
      <w:r w:rsidR="003E5279">
        <w:rPr>
          <w:rFonts w:ascii="Times New Roman" w:hAnsi="Times New Roman"/>
        </w:rPr>
        <w:t>14.197.363,91</w:t>
      </w:r>
      <w:r>
        <w:rPr>
          <w:rFonts w:ascii="Times New Roman" w:hAnsi="Times New Roman"/>
        </w:rPr>
        <w:t xml:space="preserve"> kn.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 004 – materijalna imovina prirodna bogatstva – </w:t>
      </w:r>
      <w:r w:rsidR="007820CF">
        <w:rPr>
          <w:rFonts w:ascii="Times New Roman" w:hAnsi="Times New Roman"/>
        </w:rPr>
        <w:t>smanjenje</w:t>
      </w:r>
      <w:r>
        <w:rPr>
          <w:rFonts w:ascii="Times New Roman" w:hAnsi="Times New Roman"/>
        </w:rPr>
        <w:t xml:space="preserve"> imovine zbog </w:t>
      </w:r>
      <w:r w:rsidR="007820CF">
        <w:rPr>
          <w:rFonts w:ascii="Times New Roman" w:hAnsi="Times New Roman"/>
        </w:rPr>
        <w:t xml:space="preserve">prodaje zemljišta u </w:t>
      </w:r>
      <w:r>
        <w:rPr>
          <w:rFonts w:ascii="Times New Roman" w:hAnsi="Times New Roman"/>
        </w:rPr>
        <w:t xml:space="preserve"> k.o. </w:t>
      </w:r>
      <w:proofErr w:type="spellStart"/>
      <w:r>
        <w:rPr>
          <w:rFonts w:ascii="Times New Roman" w:hAnsi="Times New Roman"/>
        </w:rPr>
        <w:t>L</w:t>
      </w:r>
      <w:r w:rsidR="007820CF">
        <w:rPr>
          <w:rFonts w:ascii="Times New Roman" w:hAnsi="Times New Roman"/>
        </w:rPr>
        <w:t>ukoran</w:t>
      </w:r>
      <w:proofErr w:type="spellEnd"/>
      <w:r w:rsidR="007820CF">
        <w:rPr>
          <w:rFonts w:ascii="Times New Roman" w:hAnsi="Times New Roman"/>
        </w:rPr>
        <w:t>.</w:t>
      </w:r>
    </w:p>
    <w:p w:rsidR="003B3AB6" w:rsidRDefault="003B3AB6" w:rsidP="00CC3471">
      <w:pPr>
        <w:rPr>
          <w:rFonts w:ascii="Times New Roman" w:hAnsi="Times New Roman"/>
        </w:rPr>
      </w:pPr>
    </w:p>
    <w:p w:rsidR="003B3AB6" w:rsidRDefault="003B3AB6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016 – komunikacijska oprema  -  povećanje zbog nabave opreme za projekt WIFI4 EU</w:t>
      </w:r>
    </w:p>
    <w:p w:rsidR="007820CF" w:rsidRDefault="007820CF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3B3AB6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010  - poslovni objekti – povećanje imovine zbog projekta Energetske obnove zgrade </w:t>
      </w: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Općine i projekta dogradnje jaslica na DV Lastavica.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0</w:t>
      </w:r>
      <w:r w:rsidR="003B3AB6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- </w:t>
      </w:r>
      <w:r w:rsidR="003B3AB6">
        <w:rPr>
          <w:rFonts w:ascii="Times New Roman" w:hAnsi="Times New Roman"/>
        </w:rPr>
        <w:t xml:space="preserve">građevinski objekti u pripremi </w:t>
      </w:r>
      <w:r>
        <w:rPr>
          <w:rFonts w:ascii="Times New Roman" w:hAnsi="Times New Roman"/>
        </w:rPr>
        <w:t xml:space="preserve"> – povećanje imovine odnosi se na projekt </w:t>
      </w:r>
      <w:r w:rsidR="007820CF">
        <w:rPr>
          <w:rFonts w:ascii="Times New Roman" w:hAnsi="Times New Roman"/>
        </w:rPr>
        <w:t>asfaltiranja nerazvrstanih cesta  u Općini Preko.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052 – građevinski objekti u pripremi – smanjenje zbog toga jer su projekti rekonstrukcije nerazvrstane ceste na Ugljanu i projekt dogradnje jaslica na DV Lastavica stavljeni u upotrebu.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3B3AB6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Novčanih sredstava u banci na dan 31.12.20</w:t>
      </w:r>
      <w:r w:rsidR="007820C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godine bilo je </w:t>
      </w:r>
      <w:r w:rsidR="003B3AB6">
        <w:rPr>
          <w:rFonts w:ascii="Times New Roman" w:hAnsi="Times New Roman"/>
        </w:rPr>
        <w:t>8.699.252,58</w:t>
      </w:r>
      <w:r>
        <w:rPr>
          <w:rFonts w:ascii="Times New Roman" w:hAnsi="Times New Roman"/>
        </w:rPr>
        <w:t xml:space="preserve"> kn (AOP 06</w:t>
      </w:r>
      <w:r w:rsidR="003B3AB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), a u blagajni </w:t>
      </w:r>
      <w:r w:rsidR="003B3AB6">
        <w:rPr>
          <w:rFonts w:ascii="Times New Roman" w:hAnsi="Times New Roman"/>
        </w:rPr>
        <w:t>28.021,28</w:t>
      </w:r>
      <w:r>
        <w:rPr>
          <w:rFonts w:ascii="Times New Roman" w:hAnsi="Times New Roman"/>
        </w:rPr>
        <w:t xml:space="preserve"> kn.</w:t>
      </w:r>
      <w:r w:rsidR="003B3AB6">
        <w:rPr>
          <w:rFonts w:ascii="Times New Roman" w:hAnsi="Times New Roman"/>
        </w:rPr>
        <w:t xml:space="preserve"> Povećanje novčanih sredstava u banci se odnosi na prihode od prodaje zemljišta.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Obveze Općine Preko na dan 31.12.20</w:t>
      </w:r>
      <w:r w:rsidR="003B3AB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godine iznose </w:t>
      </w:r>
      <w:r w:rsidR="003B3AB6">
        <w:rPr>
          <w:rFonts w:ascii="Times New Roman" w:hAnsi="Times New Roman"/>
        </w:rPr>
        <w:t>2.353.222,55</w:t>
      </w:r>
      <w:r>
        <w:rPr>
          <w:rFonts w:ascii="Times New Roman" w:hAnsi="Times New Roman"/>
        </w:rPr>
        <w:t xml:space="preserve"> kn (AOP 16</w:t>
      </w:r>
      <w:r w:rsidR="00DB3A9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), od čega se </w:t>
      </w:r>
      <w:r w:rsidR="00DB3A95">
        <w:rPr>
          <w:rFonts w:ascii="Times New Roman" w:hAnsi="Times New Roman"/>
        </w:rPr>
        <w:t>1.121.677,67</w:t>
      </w:r>
      <w:r>
        <w:rPr>
          <w:rFonts w:ascii="Times New Roman" w:hAnsi="Times New Roman"/>
        </w:rPr>
        <w:t xml:space="preserve"> kn odnosi na obv</w:t>
      </w:r>
      <w:r w:rsidR="00DB3A95">
        <w:rPr>
          <w:rFonts w:ascii="Times New Roman" w:hAnsi="Times New Roman"/>
        </w:rPr>
        <w:t>eze za rashode poslovanja (AOP 170</w:t>
      </w:r>
      <w:r>
        <w:rPr>
          <w:rFonts w:ascii="Times New Roman" w:hAnsi="Times New Roman"/>
        </w:rPr>
        <w:t xml:space="preserve">), </w:t>
      </w:r>
      <w:r w:rsidR="00DB3A95">
        <w:rPr>
          <w:rFonts w:ascii="Times New Roman" w:hAnsi="Times New Roman"/>
        </w:rPr>
        <w:t>423.564,32</w:t>
      </w:r>
      <w:r>
        <w:rPr>
          <w:rFonts w:ascii="Times New Roman" w:hAnsi="Times New Roman"/>
        </w:rPr>
        <w:t xml:space="preserve"> kn odnosi se na nabavu nefinancijske imovine (AOP 1</w:t>
      </w:r>
      <w:r w:rsidR="00DB3A95">
        <w:rPr>
          <w:rFonts w:ascii="Times New Roman" w:hAnsi="Times New Roman"/>
        </w:rPr>
        <w:t>81</w:t>
      </w:r>
      <w:r>
        <w:rPr>
          <w:rFonts w:ascii="Times New Roman" w:hAnsi="Times New Roman"/>
        </w:rPr>
        <w:t xml:space="preserve">), a ostatak  od </w:t>
      </w:r>
      <w:r w:rsidR="00DB3A95">
        <w:rPr>
          <w:rFonts w:ascii="Times New Roman" w:hAnsi="Times New Roman"/>
        </w:rPr>
        <w:t>807.979,56</w:t>
      </w:r>
      <w:r>
        <w:rPr>
          <w:rFonts w:ascii="Times New Roman" w:hAnsi="Times New Roman"/>
        </w:rPr>
        <w:t xml:space="preserve"> kn odnosi se na obveze za kredite i zajmove – tuzemne (AOP 19</w:t>
      </w:r>
      <w:r w:rsidR="00DB3A9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) 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</w:t>
      </w:r>
      <w:r w:rsidR="00DB3A95">
        <w:rPr>
          <w:rFonts w:ascii="Times New Roman" w:hAnsi="Times New Roman"/>
        </w:rPr>
        <w:t>250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izvanbilančni</w:t>
      </w:r>
      <w:proofErr w:type="spellEnd"/>
      <w:r>
        <w:rPr>
          <w:rFonts w:ascii="Times New Roman" w:hAnsi="Times New Roman"/>
        </w:rPr>
        <w:t xml:space="preserve"> zapisi – pasiva -  odnose se na dano jamstvo trgovačkom društvu </w:t>
      </w: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Otok Ugljan d.o.o. koje je u vlasništvu Općine Preko, te na potencijalne obveze </w:t>
      </w: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po sudskim sporovima.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3B3AB6" w:rsidRDefault="003B3AB6" w:rsidP="00CC3471">
      <w:pPr>
        <w:rPr>
          <w:rFonts w:ascii="Times New Roman" w:hAnsi="Times New Roman"/>
        </w:rPr>
      </w:pPr>
    </w:p>
    <w:p w:rsidR="003B3AB6" w:rsidRDefault="003B3AB6" w:rsidP="00CC3471">
      <w:pPr>
        <w:rPr>
          <w:rFonts w:ascii="Times New Roman" w:hAnsi="Times New Roman"/>
        </w:rPr>
      </w:pPr>
    </w:p>
    <w:p w:rsidR="003B3AB6" w:rsidRDefault="003B3AB6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Dano jamstvo trgovačkom društvu Otok Ugljan d.o.o.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</w:tblGrid>
      <w:tr w:rsidR="00CC3471" w:rsidTr="00CC3471">
        <w:trPr>
          <w:trHeight w:val="1146"/>
        </w:trPr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471" w:rsidRDefault="00CC347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Iznos glavnice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Iznos kamata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Ostalo za otplatu (glavnice)</w:t>
            </w:r>
          </w:p>
        </w:tc>
      </w:tr>
      <w:tr w:rsidR="00CC3471" w:rsidTr="00CC3471">
        <w:trPr>
          <w:trHeight w:val="756"/>
        </w:trPr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ADDIKO BANK d.d.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11.250.000,00 kn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6.452.707,52 kn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DB3A9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1.960.300,60</w:t>
            </w:r>
            <w:r w:rsidR="00CC3471">
              <w:rPr>
                <w:rFonts w:ascii="Times New Roman" w:hAnsi="Times New Roman"/>
                <w:b/>
                <w:lang w:eastAsia="en-US"/>
              </w:rPr>
              <w:t xml:space="preserve"> kn</w:t>
            </w:r>
          </w:p>
        </w:tc>
      </w:tr>
    </w:tbl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tbl>
      <w:tblPr>
        <w:tblStyle w:val="Reetkatablice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1940"/>
        <w:gridCol w:w="4019"/>
        <w:gridCol w:w="2273"/>
      </w:tblGrid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Redni</w:t>
            </w:r>
          </w:p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broj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Poslovni broj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Predmet spora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Vrijednost predmeta spora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P-16/15-12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Tužitelj : Dr. Leopold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Specht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Beteiligungs</w:t>
            </w:r>
            <w:proofErr w:type="spellEnd"/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isplate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7.706.432,00 kuna</w:t>
            </w:r>
          </w:p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( 1.000.000,00 €)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P-1671/18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Tužitelj: Neven Jurin i dr.</w:t>
            </w:r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P-497/11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Tužitelj: Neven Jurin i dr.</w:t>
            </w:r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P-411/2012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Tužitelj: Bernardo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Franin</w:t>
            </w:r>
            <w:proofErr w:type="spellEnd"/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1.000,00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P-2085/12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Tužitelj: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Štrmelj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Ive i dr.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P-770/13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Tužitelj: Ivan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Grbas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i dr.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P-2942/14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Tužitelj: Biserka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Alberini</w:t>
            </w:r>
            <w:proofErr w:type="spellEnd"/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P-2038/2018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Tužitelj:Eduard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Fatović</w:t>
            </w:r>
            <w:proofErr w:type="spellEnd"/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P-1208/16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Tužitelj: Šime Marušić</w:t>
            </w:r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i predaje u posjed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P- 672/18-2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Mileva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Marija Perica</w:t>
            </w:r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11.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P-667/15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Tomislav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Šimenc</w:t>
            </w:r>
            <w:proofErr w:type="spellEnd"/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P-214/18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Drago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Sikirić</w:t>
            </w:r>
            <w:proofErr w:type="spellEnd"/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10.000,01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P-526/2014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Rajka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Stepanović</w:t>
            </w:r>
            <w:proofErr w:type="spellEnd"/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10.000,00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P-732/13</w:t>
            </w:r>
          </w:p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VELI DVORI d.o.o.</w:t>
            </w:r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10.000,01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P-1663/16</w:t>
            </w:r>
          </w:p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VELI DVORI d.o.o.</w:t>
            </w:r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10.000,01 kuna</w:t>
            </w:r>
          </w:p>
        </w:tc>
      </w:tr>
      <w:tr w:rsidR="00CC3471" w:rsidTr="00CC3471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P-448/16</w:t>
            </w:r>
          </w:p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VELI DVORI d.o.o.</w:t>
            </w:r>
          </w:p>
          <w:p w:rsidR="00CC3471" w:rsidRDefault="00CC347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 utvrđenja prava vlasništva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1" w:rsidRDefault="00CC34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10.000,01 kuna</w:t>
            </w:r>
          </w:p>
        </w:tc>
      </w:tr>
    </w:tbl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Popis sudskih sporo</w:t>
      </w:r>
      <w:r w:rsidR="006C0161">
        <w:rPr>
          <w:rFonts w:ascii="Times New Roman" w:hAnsi="Times New Roman"/>
        </w:rPr>
        <w:t>va Općine Preko na dan 31.12.2020</w:t>
      </w:r>
      <w:r>
        <w:rPr>
          <w:rFonts w:ascii="Times New Roman" w:hAnsi="Times New Roman"/>
        </w:rPr>
        <w:t>. godine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Bilješke uz pojedine pozicije Izvještaja o prihodima i primicima, rashodima i izdacima – obrazac PR-RAS :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Tablica 1. O</w:t>
      </w:r>
      <w:r w:rsidR="007820CF">
        <w:rPr>
          <w:rFonts w:ascii="Times New Roman" w:hAnsi="Times New Roman"/>
          <w:b/>
        </w:rPr>
        <w:t>stvareni prihodi i primici u 2019. i 2020</w:t>
      </w:r>
      <w:r>
        <w:rPr>
          <w:rFonts w:ascii="Times New Roman" w:hAnsi="Times New Roman"/>
          <w:b/>
        </w:rPr>
        <w:t>.godini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(u kunama)</w:t>
      </w:r>
    </w:p>
    <w:p w:rsidR="00CC3471" w:rsidRDefault="00CC3471" w:rsidP="00CC3471">
      <w:pPr>
        <w:rPr>
          <w:rFonts w:ascii="Times New Roman" w:hAnsi="Times New Roman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</w:tblGrid>
      <w:tr w:rsidR="00CC3471" w:rsidTr="00CC3471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vijetlareetkatablice1"/>
              <w:tblW w:w="6717" w:type="dxa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3139"/>
              <w:gridCol w:w="1372"/>
              <w:gridCol w:w="1462"/>
            </w:tblGrid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Red.</w:t>
                  </w:r>
                </w:p>
                <w:p w:rsidR="009E4C0D" w:rsidRDefault="009E4C0D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Broj.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Prihodi i primici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8772CC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Ostvareno 20</w:t>
                  </w:r>
                  <w:r w:rsidR="008772CC">
                    <w:rPr>
                      <w:rFonts w:ascii="Times New Roman" w:hAnsi="Times New Roman"/>
                      <w:b/>
                      <w:lang w:eastAsia="en-US"/>
                    </w:rPr>
                    <w:t>19</w:t>
                  </w:r>
                  <w:r>
                    <w:rPr>
                      <w:rFonts w:ascii="Times New Roman" w:hAnsi="Times New Roman"/>
                      <w:b/>
                      <w:lang w:eastAsia="en-US"/>
                    </w:rPr>
                    <w:t>.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8772CC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Ostvareno 20</w:t>
                  </w:r>
                  <w:r w:rsidR="008772CC">
                    <w:rPr>
                      <w:rFonts w:ascii="Times New Roman" w:hAnsi="Times New Roman"/>
                      <w:b/>
                      <w:lang w:eastAsia="en-US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lang w:eastAsia="en-US"/>
                    </w:rPr>
                    <w:t>.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Prihodi poslovanja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20.462.473,29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16.595.152,57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pStyle w:val="Odlomakpopisa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poreza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11.109.944,32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9.356.430,06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1.1.1.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Porez na dohodak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5.963.178,21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5.664.362,10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1.1.2.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Porez na promet nekretnina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3.940.587,60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2.519.758,28</w:t>
                  </w:r>
                </w:p>
              </w:tc>
            </w:tr>
            <w:tr w:rsidR="009E4C0D" w:rsidTr="009E4C0D">
              <w:trPr>
                <w:trHeight w:val="240"/>
              </w:trPr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1.1.4.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Općinski porezi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1.206.178,51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1.172.309,76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pStyle w:val="Odlomakpopisa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Pomoći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2.548.535,76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2.229.101,46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1.2.1.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Tekuće pomoći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38.810,88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398.847,64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1.2.2.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781E67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Tekuće pomoći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izvanprorač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 korisnika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55.375,00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1.2.3.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Kapitalne pomoći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1.650.000,00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1.467.271,28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1.2.4.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Kapitalne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pomoći.izvanpror.korisnika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860.235,29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194.013,29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1.2.5.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Kapitalne pomoći od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instit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 I tijela EU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330.132,59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113.594,25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1.3.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imovine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1.128.236,05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982.416,52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1.3.1.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financijske imovine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0,31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87,96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1.3.2.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nefinancijske imovine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128.235,74.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A8426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  <w:r w:rsidR="009E4C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82.328,56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1.4.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upravnih pristojbi i po posebnim propisima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5.638.923,82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4.014.428,79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1.4.1.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upravnih pristojbi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231,794,90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197.677,21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1.4.2.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Komunalna naknada i doprinosi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5.208.306,96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3.531.466,63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1.4.3.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Drugi prihodi po posebnim propisima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198.821,96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285.284,94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1.5.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prodaje proizvoda i robe te prihodi od pruženih usluga i prihodi od donacija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12.750,00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547163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12.775.74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1.5.1.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Prihodi od pruženih usluga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1.5.2.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Donacije od pravnih i fizičkih osoba izvan općeg proračuna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12,750,00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1.5.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Kazne, upravne mjere i ostali prihodi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24.083,34.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12.775.74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Prihodi od prodaje nefinancijske imovine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19.868.879,18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Primici od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fin.imovine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i zaduživanja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1.474.720,38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427.000,00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3.1.1.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Primici od povrata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jamčevnih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pologa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10.000,00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3.2.</w:t>
                  </w: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Primljeni krediti od tuzemnih kreditnih institucija izvan javnog sektora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1.472.920,38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417.000,00</w:t>
                  </w:r>
                </w:p>
              </w:tc>
            </w:tr>
            <w:tr w:rsidR="009E4C0D" w:rsidTr="009E4C0D">
              <w:tc>
                <w:tcPr>
                  <w:tcW w:w="7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 w:rsidP="006C0161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UKUPNO PRIHODI I PRIMICI</w:t>
                  </w:r>
                </w:p>
              </w:tc>
              <w:tc>
                <w:tcPr>
                  <w:tcW w:w="13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21.937.193,67</w:t>
                  </w:r>
                </w:p>
              </w:tc>
              <w:tc>
                <w:tcPr>
                  <w:tcW w:w="14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6C0161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36.891.031,75</w:t>
                  </w:r>
                </w:p>
              </w:tc>
            </w:tr>
          </w:tbl>
          <w:p w:rsidR="00CC3471" w:rsidRDefault="00CC347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Ukupni prihodi i primici Općine Preko za 20</w:t>
      </w:r>
      <w:r w:rsidR="00D21F3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godinu ostvareni su u iznosu od </w:t>
      </w:r>
      <w:r w:rsidR="00D21F35">
        <w:rPr>
          <w:rFonts w:ascii="Times New Roman" w:hAnsi="Times New Roman"/>
        </w:rPr>
        <w:t>36.891.031,75</w:t>
      </w:r>
      <w:r>
        <w:rPr>
          <w:rFonts w:ascii="Times New Roman" w:hAnsi="Times New Roman"/>
        </w:rPr>
        <w:t xml:space="preserve"> kn.</w:t>
      </w:r>
    </w:p>
    <w:p w:rsidR="00CC3471" w:rsidRDefault="00CC3471" w:rsidP="00CC3471">
      <w:pPr>
        <w:rPr>
          <w:rFonts w:ascii="Times New Roman" w:hAnsi="Times New Roman"/>
        </w:rPr>
      </w:pPr>
    </w:p>
    <w:p w:rsidR="009E4C0D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-022 – povremeni porezi imovinu – </w:t>
      </w:r>
      <w:proofErr w:type="spellStart"/>
      <w:r w:rsidR="00D21F35">
        <w:rPr>
          <w:rFonts w:ascii="Times New Roman" w:hAnsi="Times New Roman"/>
        </w:rPr>
        <w:t>smanjenj</w:t>
      </w:r>
      <w:proofErr w:type="spellEnd"/>
      <w:r>
        <w:rPr>
          <w:rFonts w:ascii="Times New Roman" w:hAnsi="Times New Roman"/>
        </w:rPr>
        <w:t xml:space="preserve"> prihoda od  poreza na promet nekretnina, sto je rezultat </w:t>
      </w:r>
      <w:r w:rsidR="009E4C0D">
        <w:rPr>
          <w:rFonts w:ascii="Times New Roman" w:hAnsi="Times New Roman"/>
        </w:rPr>
        <w:t>smanjenje</w:t>
      </w:r>
      <w:r>
        <w:rPr>
          <w:rFonts w:ascii="Times New Roman" w:hAnsi="Times New Roman"/>
        </w:rPr>
        <w:t xml:space="preserve"> prodaje nekretnina na području Općine Preko </w:t>
      </w:r>
      <w:r w:rsidR="009E4C0D">
        <w:rPr>
          <w:rFonts w:ascii="Times New Roman" w:hAnsi="Times New Roman"/>
        </w:rPr>
        <w:t>zbog situacije uzrokovanje virusom COVID – 19.</w:t>
      </w:r>
    </w:p>
    <w:p w:rsidR="009E4C0D" w:rsidRDefault="009E4C0D" w:rsidP="00CC3471">
      <w:pPr>
        <w:rPr>
          <w:rFonts w:ascii="Times New Roman" w:hAnsi="Times New Roman"/>
        </w:rPr>
      </w:pPr>
    </w:p>
    <w:p w:rsidR="009E4C0D" w:rsidRDefault="00CC3471" w:rsidP="009E4C0D">
      <w:pPr>
        <w:rPr>
          <w:rFonts w:ascii="Times New Roman" w:hAnsi="Times New Roman"/>
        </w:rPr>
      </w:pPr>
      <w:r>
        <w:rPr>
          <w:rFonts w:ascii="Times New Roman" w:hAnsi="Times New Roman"/>
        </w:rPr>
        <w:t>AOP 026 – porez na promet – smanjenje prihoda od poreza na potrošnju alkoholnih i bezalkoholnih pića zbog Odluke Vije</w:t>
      </w:r>
      <w:r w:rsidR="00D21F35">
        <w:rPr>
          <w:rFonts w:ascii="Times New Roman" w:hAnsi="Times New Roman"/>
        </w:rPr>
        <w:t xml:space="preserve">ća o smanjenju navedenog poreza </w:t>
      </w:r>
      <w:r w:rsidR="009E4C0D">
        <w:rPr>
          <w:rFonts w:ascii="Times New Roman" w:hAnsi="Times New Roman"/>
        </w:rPr>
        <w:t>situacije uzrokovanje virusom COVID – 19.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0</w:t>
      </w:r>
      <w:r w:rsidR="002D29C9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– kapitalne pomoći od prijenosa EU sredstava  – </w:t>
      </w:r>
      <w:r w:rsidR="00D21F35">
        <w:rPr>
          <w:rFonts w:ascii="Times New Roman" w:hAnsi="Times New Roman"/>
        </w:rPr>
        <w:t>smanjenje u 2020. godini, prihod samo od projekta WIFI4EU.</w:t>
      </w:r>
    </w:p>
    <w:p w:rsidR="002D29C9" w:rsidRDefault="002D29C9" w:rsidP="00CC3471">
      <w:pPr>
        <w:rPr>
          <w:rFonts w:ascii="Times New Roman" w:hAnsi="Times New Roman"/>
        </w:rPr>
      </w:pPr>
    </w:p>
    <w:p w:rsidR="002D29C9" w:rsidRDefault="002D29C9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059– kapitalne pomoći od izvanproračunskih korisnika – prihod od APPRR – a za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projekt izgradnje nerazvrstane ceste u naselju Ugljan.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129 – kapitalne donacije –</w:t>
      </w:r>
      <w:r w:rsidR="00D21F35">
        <w:rPr>
          <w:rFonts w:ascii="Times New Roman" w:hAnsi="Times New Roman"/>
        </w:rPr>
        <w:t xml:space="preserve"> U 2020. nije bilo kapitalnih donacija od pravnih i fizičkih osoba.</w:t>
      </w:r>
    </w:p>
    <w:p w:rsidR="00D21F35" w:rsidRDefault="00D21F35" w:rsidP="00CC3471">
      <w:pPr>
        <w:rPr>
          <w:rFonts w:ascii="Times New Roman" w:hAnsi="Times New Roman"/>
        </w:rPr>
      </w:pPr>
    </w:p>
    <w:p w:rsidR="00D21F35" w:rsidRDefault="00D21F35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Tablica 1. Ostvareni rashodi i izdaci u 201</w:t>
      </w:r>
      <w:r w:rsidR="00D21F3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i 20</w:t>
      </w:r>
      <w:r w:rsidR="00D21F35"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</w:rPr>
        <w:t>godini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(u kunama)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</w:tblGrid>
      <w:tr w:rsidR="00CC3471" w:rsidTr="00CC3471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vijetlareetkatablice1"/>
              <w:tblW w:w="6717" w:type="dxa"/>
              <w:tblInd w:w="0" w:type="dxa"/>
              <w:tblLook w:val="04A0" w:firstRow="1" w:lastRow="0" w:firstColumn="1" w:lastColumn="0" w:noHBand="0" w:noVBand="1"/>
            </w:tblPr>
            <w:tblGrid>
              <w:gridCol w:w="743"/>
              <w:gridCol w:w="3126"/>
              <w:gridCol w:w="1374"/>
              <w:gridCol w:w="1474"/>
            </w:tblGrid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Red.</w:t>
                  </w:r>
                </w:p>
                <w:p w:rsidR="009E4C0D" w:rsidRDefault="009E4C0D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Broj.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Rashodi i izdaci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D21F35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Ostvareno 2019.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 w:rsidP="00D21F35">
                  <w:pPr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Ostvareno 2020.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Rahodi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poslovanja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16.293.018,30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18.595.256,65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1.1.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Rashodi za zaposlene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2.025.459,90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1.997.890,96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1.2.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Materijalni rashodi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5.248.899,01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6.665.040,77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1.3.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Financijski rashodi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124.350,15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112.603,66</w:t>
                  </w:r>
                </w:p>
              </w:tc>
            </w:tr>
            <w:tr w:rsidR="009E4C0D" w:rsidTr="009E4C0D">
              <w:trPr>
                <w:trHeight w:val="240"/>
              </w:trPr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1.4.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Subvencije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2.839.210,33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3.224.654,82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1.5.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Pomoći dane u inozemstvo i unutar općeg proračuna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2.020.404,21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2.019.991,10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1.6.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Naknade za građane i kućanstvima 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901.194,00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1.157.730,00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1.7.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Ostali rashodi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3.133.500,70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3.417.345,34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Rashodi za nabavu nefinancijske imovine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5.409.229,62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5.179.826,01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2.1.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Rashodi za nabavu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neproizvedene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dugotrajne imovine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26.875,00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20.625,00</w:t>
                  </w:r>
                </w:p>
              </w:tc>
            </w:tr>
            <w:tr w:rsidR="009E4C0D" w:rsidTr="009E4C0D"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2.2.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Rashodi za nabavu proizvedene dugotrajne imovine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3.493.671,00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5.114.201,01</w:t>
                  </w:r>
                </w:p>
              </w:tc>
            </w:tr>
            <w:tr w:rsidR="009E4C0D" w:rsidTr="009E4C0D">
              <w:trPr>
                <w:trHeight w:val="474"/>
              </w:trPr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2.2.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Rashodi za dodatna ulaganja na nefinancijskoj imovini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1.888.683,62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45.000,00</w:t>
                  </w:r>
                </w:p>
              </w:tc>
            </w:tr>
            <w:tr w:rsidR="009E4C0D" w:rsidTr="009E4C0D">
              <w:trPr>
                <w:trHeight w:val="520"/>
              </w:trPr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Izdaci za financijsku imovinu i otplate zajmova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168.882,17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2.887.300,97</w:t>
                  </w:r>
                </w:p>
              </w:tc>
            </w:tr>
            <w:tr w:rsidR="009E4C0D" w:rsidTr="009E4C0D">
              <w:trPr>
                <w:trHeight w:val="520"/>
              </w:trPr>
              <w:tc>
                <w:tcPr>
                  <w:tcW w:w="7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UKUPNO RASHODI I IZDACI</w:t>
                  </w:r>
                </w:p>
              </w:tc>
              <w:tc>
                <w:tcPr>
                  <w:tcW w:w="13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9E4C0D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21.365.168,29</w:t>
                  </w: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9E4C0D" w:rsidRDefault="002D29C9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26.662.383,63</w:t>
                  </w:r>
                </w:p>
              </w:tc>
            </w:tr>
          </w:tbl>
          <w:p w:rsidR="00CC3471" w:rsidRDefault="00CC347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Ukupni rashodi i izdaci Općine Preko za 20</w:t>
      </w:r>
      <w:r w:rsidR="00F521C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godinu ostvareni su u iznosu od </w:t>
      </w:r>
      <w:r w:rsidR="002D29C9">
        <w:rPr>
          <w:rFonts w:ascii="Times New Roman" w:hAnsi="Times New Roman"/>
        </w:rPr>
        <w:t>26.662.383,60</w:t>
      </w:r>
      <w:r>
        <w:rPr>
          <w:rFonts w:ascii="Times New Roman" w:hAnsi="Times New Roman"/>
        </w:rPr>
        <w:t xml:space="preserve"> kn </w:t>
      </w:r>
      <w:r w:rsidR="002D29C9">
        <w:rPr>
          <w:rFonts w:ascii="Times New Roman" w:hAnsi="Times New Roman"/>
        </w:rPr>
        <w:t>.</w:t>
      </w:r>
    </w:p>
    <w:p w:rsidR="002D29C9" w:rsidRDefault="002D29C9" w:rsidP="00CC3471">
      <w:pPr>
        <w:rPr>
          <w:rFonts w:ascii="Times New Roman" w:hAnsi="Times New Roman"/>
        </w:rPr>
      </w:pPr>
    </w:p>
    <w:p w:rsidR="002D29C9" w:rsidRDefault="002D29C9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183 -  Ostale usluge- povećanje rashoda je nastalo zbog naknade za energetsku uslugu.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21</w:t>
      </w:r>
      <w:r w:rsidR="002D29C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Subvencije trgovačkim društvima u javnom sektoru – odnose se na Obala i Parkovi d.o.o., komunalnu tvrtku u vlasništvu Općine Preko. Zbog povećanog obima posla povećan je i broj zaposlenih pa tako i subvencije za rashode poslovanja.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AOP255 -  Naknade građanima i kućanstvima u naravi  - povećanje se odnosi na sufinanciranje pružanja pomoći u kući starijim osobama</w:t>
      </w:r>
      <w:r w:rsidR="002D29C9">
        <w:rPr>
          <w:rFonts w:ascii="Times New Roman" w:hAnsi="Times New Roman"/>
        </w:rPr>
        <w:t>, isplatu božićnica za umirovljenike i sufinanciranje obrazovnog materijala za osnovnu školu.</w:t>
      </w:r>
      <w:r>
        <w:rPr>
          <w:rFonts w:ascii="Times New Roman" w:hAnsi="Times New Roman"/>
        </w:rPr>
        <w:t>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273 – Kapitalne pomoći kreditnim i ostalim financijskim institucijama te trgovačkim društvima u javnom sektoru -  povećanje se odnosi na kapitalne pomoći Obala i Parkovi d.o.o. i DVD Preko za nabavku novih vozila.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– 634- Manjak prihoda i primitaka  - preneseni -  iznos je različit u odnosu na izvještaje od 31.12.201</w:t>
      </w:r>
      <w:r w:rsidR="002D29C9">
        <w:rPr>
          <w:rFonts w:ascii="Times New Roman" w:hAnsi="Times New Roman"/>
        </w:rPr>
        <w:t>9</w:t>
      </w:r>
      <w:r>
        <w:rPr>
          <w:rFonts w:ascii="Times New Roman" w:hAnsi="Times New Roman"/>
        </w:rPr>
        <w:t>. zbog Odluka Općinskog vijeća o raspodijeli i ispravku rezultata za 201</w:t>
      </w:r>
      <w:r w:rsidR="00F521C4">
        <w:rPr>
          <w:rFonts w:ascii="Times New Roman" w:hAnsi="Times New Roman"/>
        </w:rPr>
        <w:t>9</w:t>
      </w:r>
      <w:r>
        <w:rPr>
          <w:rFonts w:ascii="Times New Roman" w:hAnsi="Times New Roman"/>
        </w:rPr>
        <w:t>.g.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636 – </w:t>
      </w:r>
      <w:r w:rsidR="00F521C4">
        <w:rPr>
          <w:rFonts w:ascii="Times New Roman" w:hAnsi="Times New Roman"/>
        </w:rPr>
        <w:t>višak</w:t>
      </w:r>
      <w:r>
        <w:rPr>
          <w:rFonts w:ascii="Times New Roman" w:hAnsi="Times New Roman"/>
        </w:rPr>
        <w:t xml:space="preserve"> prihoda i primitaka za </w:t>
      </w:r>
      <w:r w:rsidR="002D29C9">
        <w:rPr>
          <w:rFonts w:ascii="Times New Roman" w:hAnsi="Times New Roman"/>
        </w:rPr>
        <w:t xml:space="preserve">raspoloživ </w:t>
      </w:r>
      <w:r>
        <w:rPr>
          <w:rFonts w:ascii="Times New Roman" w:hAnsi="Times New Roman"/>
        </w:rPr>
        <w:t xml:space="preserve"> u sljedećem razdoblju iznosi </w:t>
      </w:r>
      <w:r w:rsidR="002D29C9">
        <w:rPr>
          <w:rFonts w:ascii="Times New Roman" w:hAnsi="Times New Roman"/>
        </w:rPr>
        <w:t>8.137.427,85</w:t>
      </w:r>
      <w:r>
        <w:rPr>
          <w:rFonts w:ascii="Times New Roman" w:hAnsi="Times New Roman"/>
        </w:rPr>
        <w:t xml:space="preserve"> kn, a nastao je zbog </w:t>
      </w:r>
      <w:r w:rsidR="002D29C9">
        <w:rPr>
          <w:rFonts w:ascii="Times New Roman" w:hAnsi="Times New Roman"/>
        </w:rPr>
        <w:t>viška</w:t>
      </w:r>
      <w:r>
        <w:rPr>
          <w:rFonts w:ascii="Times New Roman" w:hAnsi="Times New Roman"/>
        </w:rPr>
        <w:t xml:space="preserve"> prihoda </w:t>
      </w:r>
      <w:r w:rsidR="002D29C9">
        <w:rPr>
          <w:rFonts w:ascii="Times New Roman" w:hAnsi="Times New Roman"/>
        </w:rPr>
        <w:t>od prodaje</w:t>
      </w:r>
      <w:r>
        <w:rPr>
          <w:rFonts w:ascii="Times New Roman" w:hAnsi="Times New Roman"/>
        </w:rPr>
        <w:t xml:space="preserve"> nefinancijske imovine.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Bilješke uz pojedine pozicije Izvještaja o promjenama u vrijednosti i obujmu imovine – obrazac P-VRIO :</w:t>
      </w:r>
    </w:p>
    <w:p w:rsidR="00CC3471" w:rsidRDefault="00CC3471" w:rsidP="00CC3471">
      <w:pPr>
        <w:rPr>
          <w:rFonts w:ascii="Times New Roman" w:hAnsi="Times New Roman"/>
        </w:rPr>
      </w:pPr>
    </w:p>
    <w:p w:rsidR="00F521C4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toku prethodne godine izvršen je otpis potraživanja zbog nemogućnosti naplate pojedinog potraživanja, niti prisilnim putem niti voljom obveznika, u iznosu od 67.703,63 kn (AOP </w:t>
      </w: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032).</w:t>
      </w:r>
    </w:p>
    <w:p w:rsidR="00F521C4" w:rsidRDefault="00774032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Izvršene je ispravak vrijednosti potraži</w:t>
      </w:r>
      <w:r w:rsidR="00D340BE">
        <w:rPr>
          <w:rFonts w:ascii="Times New Roman" w:hAnsi="Times New Roman"/>
        </w:rPr>
        <w:t>v</w:t>
      </w:r>
      <w:r>
        <w:rPr>
          <w:rFonts w:ascii="Times New Roman" w:hAnsi="Times New Roman"/>
        </w:rPr>
        <w:t>anja za 2020.g.</w:t>
      </w:r>
      <w:r w:rsidR="00D340BE">
        <w:rPr>
          <w:rFonts w:ascii="Times New Roman" w:hAnsi="Times New Roman"/>
        </w:rPr>
        <w:t xml:space="preserve"> </w:t>
      </w:r>
      <w:r w:rsidR="00F521C4">
        <w:rPr>
          <w:rFonts w:ascii="Times New Roman" w:hAnsi="Times New Roman"/>
        </w:rPr>
        <w:t>Oprema nabavljena za jaslice prenesena je proračunskom korisniku DV Lastavica.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Bilješke uz pojedine pozicije Izvještaja o obvezama  - obrazac OBVEZE :</w:t>
      </w: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001 – stanje obveza na početku izvještajnog razdoblja – </w:t>
      </w:r>
      <w:r w:rsidR="00901120">
        <w:rPr>
          <w:rFonts w:ascii="Times New Roman" w:hAnsi="Times New Roman"/>
        </w:rPr>
        <w:t>6.530,955,00</w:t>
      </w:r>
      <w:r>
        <w:rPr>
          <w:rFonts w:ascii="Times New Roman" w:hAnsi="Times New Roman"/>
        </w:rPr>
        <w:t xml:space="preserve"> kn</w:t>
      </w: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090 – nedospjele obveze na dan 31.12.20</w:t>
      </w:r>
      <w:r w:rsidR="0090112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.g. iznose </w:t>
      </w:r>
      <w:r w:rsidR="00901120">
        <w:rPr>
          <w:rFonts w:ascii="Times New Roman" w:hAnsi="Times New Roman"/>
        </w:rPr>
        <w:t>1</w:t>
      </w:r>
      <w:r w:rsidR="00D340BE">
        <w:rPr>
          <w:rFonts w:ascii="Times New Roman" w:hAnsi="Times New Roman"/>
        </w:rPr>
        <w:t>.</w:t>
      </w:r>
      <w:r w:rsidR="00901120">
        <w:rPr>
          <w:rFonts w:ascii="Times New Roman" w:hAnsi="Times New Roman"/>
        </w:rPr>
        <w:t>667</w:t>
      </w:r>
      <w:r w:rsidR="00D340BE">
        <w:rPr>
          <w:rFonts w:ascii="Times New Roman" w:hAnsi="Times New Roman"/>
        </w:rPr>
        <w:t>.</w:t>
      </w:r>
      <w:bookmarkStart w:id="1" w:name="_GoBack"/>
      <w:bookmarkEnd w:id="1"/>
      <w:r w:rsidR="00901120">
        <w:rPr>
          <w:rFonts w:ascii="Times New Roman" w:hAnsi="Times New Roman"/>
        </w:rPr>
        <w:t>329</w:t>
      </w:r>
      <w:r>
        <w:rPr>
          <w:rFonts w:ascii="Times New Roman" w:hAnsi="Times New Roman"/>
        </w:rPr>
        <w:t xml:space="preserve"> kn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Stanje obveza na kraju izvještajnog razdoblja iznosi </w:t>
      </w:r>
      <w:r w:rsidR="00901120">
        <w:rPr>
          <w:rFonts w:ascii="Times New Roman" w:hAnsi="Times New Roman"/>
        </w:rPr>
        <w:t>2.353.221,55</w:t>
      </w:r>
      <w:r>
        <w:rPr>
          <w:rFonts w:ascii="Times New Roman" w:hAnsi="Times New Roman"/>
        </w:rPr>
        <w:t xml:space="preserve"> (AOP 036).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Podmirene obveze na kraju izvještajnog razdoblja iznose </w:t>
      </w:r>
      <w:r w:rsidR="00901120">
        <w:rPr>
          <w:rFonts w:ascii="Times New Roman" w:hAnsi="Times New Roman"/>
        </w:rPr>
        <w:t>27.575.670,99</w:t>
      </w:r>
      <w:r>
        <w:rPr>
          <w:rFonts w:ascii="Times New Roman" w:hAnsi="Times New Roman"/>
        </w:rPr>
        <w:t xml:space="preserve"> kn (AOP 019), a odnose se na obveze za rashode poslovanja i obveze za nabavku nefinancijske imovine i na obveze za financijsku imovinu.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Bilješke uz pojedine pozicije Izvještaja o rashodima prema </w:t>
      </w:r>
      <w:proofErr w:type="spellStart"/>
      <w:r>
        <w:rPr>
          <w:rFonts w:ascii="Times New Roman" w:hAnsi="Times New Roman"/>
          <w:u w:val="single"/>
        </w:rPr>
        <w:t>funkc.klas</w:t>
      </w:r>
      <w:proofErr w:type="spellEnd"/>
      <w:r>
        <w:rPr>
          <w:rFonts w:ascii="Times New Roman" w:hAnsi="Times New Roman"/>
          <w:u w:val="single"/>
        </w:rPr>
        <w:t>. – obrazac RAS-funkcijski :</w:t>
      </w: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  <w:u w:val="single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>AOP 66 – Rashodi vezani za stanovanje i komunalne pogodnosti koji nisu drugdje svrstani– povećanje zbog investicijskog održavanja javnih površina i povećanja subvencija Obala i parkovi d.o.o.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OPĆINSKI NAČELNIK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JURE BRIŽIĆ</w:t>
      </w: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>
      <w:pPr>
        <w:rPr>
          <w:rFonts w:ascii="Times New Roman" w:hAnsi="Times New Roman"/>
        </w:rPr>
      </w:pPr>
    </w:p>
    <w:p w:rsidR="00CC3471" w:rsidRDefault="00CC3471" w:rsidP="00CC3471"/>
    <w:p w:rsidR="00A371C5" w:rsidRDefault="00A371C5"/>
    <w:sectPr w:rsidR="00A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C9D"/>
    <w:multiLevelType w:val="multilevel"/>
    <w:tmpl w:val="02D61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983EF9"/>
    <w:multiLevelType w:val="hybridMultilevel"/>
    <w:tmpl w:val="088A0D66"/>
    <w:lvl w:ilvl="0" w:tplc="6EF2B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1"/>
    <w:rsid w:val="00082D01"/>
    <w:rsid w:val="00196A95"/>
    <w:rsid w:val="002D29C9"/>
    <w:rsid w:val="003B3AB6"/>
    <w:rsid w:val="003E5279"/>
    <w:rsid w:val="00547163"/>
    <w:rsid w:val="005539DB"/>
    <w:rsid w:val="00593DE7"/>
    <w:rsid w:val="006C0161"/>
    <w:rsid w:val="00774032"/>
    <w:rsid w:val="00781E67"/>
    <w:rsid w:val="007820CF"/>
    <w:rsid w:val="008772CC"/>
    <w:rsid w:val="008F2BD6"/>
    <w:rsid w:val="00901120"/>
    <w:rsid w:val="00994ECE"/>
    <w:rsid w:val="009E4C0D"/>
    <w:rsid w:val="00A371C5"/>
    <w:rsid w:val="00A8426D"/>
    <w:rsid w:val="00CC3471"/>
    <w:rsid w:val="00D21F35"/>
    <w:rsid w:val="00D340BE"/>
    <w:rsid w:val="00D61027"/>
    <w:rsid w:val="00DB3A95"/>
    <w:rsid w:val="00EF036B"/>
    <w:rsid w:val="00F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4EFF"/>
  <w15:chartTrackingRefBased/>
  <w15:docId w15:val="{5C10A2E5-3FFE-4BDF-9232-077B1494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7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347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CC3471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CC34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CC3471"/>
    <w:pPr>
      <w:shd w:val="clear" w:color="auto" w:fill="FFFFFF"/>
      <w:spacing w:line="0" w:lineRule="atLeast"/>
      <w:ind w:hanging="340"/>
      <w:outlineLvl w:val="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Tablecaption2">
    <w:name w:val="Table caption (2)_"/>
    <w:basedOn w:val="Zadanifontodlomka"/>
    <w:link w:val="Tablecaption20"/>
    <w:locked/>
    <w:rsid w:val="00CC34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CC3471"/>
    <w:pPr>
      <w:shd w:val="clear" w:color="auto" w:fill="FFFFFF"/>
      <w:spacing w:line="0" w:lineRule="atLeast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Bodytext2Bold">
    <w:name w:val="Body text (2) + Bold"/>
    <w:basedOn w:val="Zadanifontodlomka"/>
    <w:rsid w:val="00CC34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r-HR" w:eastAsia="hr-HR" w:bidi="hr-HR"/>
    </w:rPr>
  </w:style>
  <w:style w:type="character" w:customStyle="1" w:styleId="Bodytext2">
    <w:name w:val="Body text (2)"/>
    <w:basedOn w:val="Zadanifontodlomka"/>
    <w:rsid w:val="00CC34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r-HR" w:eastAsia="hr-HR" w:bidi="hr-HR"/>
    </w:rPr>
  </w:style>
  <w:style w:type="table" w:styleId="Reetkatablice">
    <w:name w:val="Table Grid"/>
    <w:basedOn w:val="Obinatablica"/>
    <w:uiPriority w:val="59"/>
    <w:rsid w:val="00CC34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areetkatablice1">
    <w:name w:val="Svijetla rešetka tablice1"/>
    <w:basedOn w:val="Obinatablica"/>
    <w:uiPriority w:val="40"/>
    <w:rsid w:val="00CC347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</dc:creator>
  <cp:keywords/>
  <dc:description/>
  <cp:lastModifiedBy>Preko</cp:lastModifiedBy>
  <cp:revision>18</cp:revision>
  <dcterms:created xsi:type="dcterms:W3CDTF">2021-02-19T17:20:00Z</dcterms:created>
  <dcterms:modified xsi:type="dcterms:W3CDTF">2021-02-24T11:35:00Z</dcterms:modified>
</cp:coreProperties>
</file>