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>
      <w:pPr>
        <w:rPr>
          <w:rFonts w:asciiTheme="minorHAnsi" w:hAnsiTheme="minorHAnsi"/>
          <w:sz w:val="16"/>
          <w:szCs w:val="16"/>
        </w:rPr>
      </w:pPr>
    </w:p>
    <w:p>
      <w:pPr>
        <w:rPr>
          <w:rFonts w:asciiTheme="minorHAnsi" w:hAnsiTheme="minorHAnsi"/>
          <w:sz w:val="16"/>
          <w:szCs w:val="16"/>
        </w:rPr>
      </w:pPr>
      <w:r>
        <w:rPr>
          <w:rFonts w:asciiTheme="minorHAnsi" w:hAnsiTheme="minorHAnsi"/>
          <w:noProof/>
          <w:sz w:val="16"/>
          <w:szCs w:val="16"/>
        </w:rPr>
        <w:drawing>
          <wp:inline distT="0" distB="0" distL="0" distR="0">
            <wp:extent cx="1704975" cy="936065"/>
            <wp:effectExtent l="19050" t="0" r="9525" b="0"/>
            <wp:docPr id="3" name="Slika 3" descr="GRB%20s%20memorandum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RB%20s%20memorandumom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936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Naslov2"/>
        <w:rPr>
          <w:sz w:val="20"/>
          <w:szCs w:val="20"/>
        </w:rPr>
      </w:pPr>
      <w:r>
        <w:rPr>
          <w:sz w:val="20"/>
          <w:szCs w:val="20"/>
        </w:rPr>
        <w:t>GRADSKO VIJEĆE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KLASA: 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 xml:space="preserve">UBROJ:  </w:t>
      </w:r>
    </w:p>
    <w:p>
      <w:pPr>
        <w:tabs>
          <w:tab w:val="left" w:pos="4320"/>
        </w:tabs>
        <w:rPr>
          <w:sz w:val="20"/>
          <w:szCs w:val="20"/>
        </w:rPr>
      </w:pPr>
      <w:r>
        <w:rPr>
          <w:sz w:val="20"/>
          <w:szCs w:val="20"/>
        </w:rPr>
        <w:t>Oroslavje, 05.10.2022. godine</w:t>
      </w:r>
    </w:p>
    <w:p>
      <w:pPr>
        <w:rPr>
          <w:sz w:val="20"/>
          <w:szCs w:val="20"/>
        </w:rPr>
      </w:pPr>
    </w:p>
    <w:p>
      <w:pPr>
        <w:rPr>
          <w:sz w:val="20"/>
          <w:szCs w:val="20"/>
        </w:rPr>
      </w:pPr>
    </w:p>
    <w:p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  <w:lang w:val="pl-PL"/>
        </w:rPr>
        <w:t>Na temelju članka 9a.  Zakona o financiranju javnih potreba u kulturi (“Narodne novine” broj 47/90, 27/93, 38/09)</w:t>
      </w:r>
      <w:r>
        <w:rPr>
          <w:sz w:val="20"/>
          <w:szCs w:val="20"/>
        </w:rPr>
        <w:t xml:space="preserve"> i članka  32. Statuta grada Oroslavja (Službeni glasnik Krapinsko-zagorske županije broj 16/09., 13/13.,  19/18., 21/20. i 23/21.)  Gradsko vijeće grada Oroslavja na svojoj 21. sjednici održanoj dana 05.10.2022. godine, nije donijelo</w:t>
      </w:r>
    </w:p>
    <w:p/>
    <w:p/>
    <w:p>
      <w:pPr>
        <w:jc w:val="center"/>
        <w:rPr>
          <w:b/>
        </w:rPr>
      </w:pPr>
      <w:r>
        <w:rPr>
          <w:b/>
        </w:rPr>
        <w:t>POLUGODIŠNJE IZVRŠENJE PROGRAMA</w:t>
      </w:r>
    </w:p>
    <w:p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JAVNIH POTREBA U KULTURI GRADA OROSLAVJA ZA 2022. GODINU</w:t>
      </w:r>
    </w:p>
    <w:p>
      <w:pPr>
        <w:jc w:val="center"/>
        <w:rPr>
          <w:b/>
          <w:sz w:val="22"/>
          <w:szCs w:val="22"/>
        </w:rPr>
      </w:pPr>
    </w:p>
    <w:p>
      <w:pPr>
        <w:rPr>
          <w:sz w:val="20"/>
          <w:szCs w:val="20"/>
        </w:rPr>
      </w:pPr>
    </w:p>
    <w:p>
      <w:pPr>
        <w:jc w:val="center"/>
        <w:rPr>
          <w:sz w:val="20"/>
          <w:szCs w:val="20"/>
        </w:rPr>
      </w:pPr>
      <w:r>
        <w:rPr>
          <w:sz w:val="20"/>
          <w:szCs w:val="20"/>
        </w:rPr>
        <w:t>Članak 1.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ab/>
        <w:t>Ovim Programom javnih potreba u kulturi, a u cilju poticanja i promicanja kulturnih djelatnosti,  grad Oroslavje je sudjelovao u sufinanciranju javnih potreba u kulturi te sufinanciranju troškova poslovanja Proračunskih korisnika   kako slijedi:</w:t>
      </w:r>
    </w:p>
    <w:p>
      <w:pPr>
        <w:rPr>
          <w:rFonts w:asciiTheme="minorHAnsi" w:hAnsiTheme="minorHAnsi"/>
          <w:sz w:val="16"/>
          <w:szCs w:val="16"/>
        </w:rPr>
      </w:pPr>
    </w:p>
    <w:p>
      <w:pPr>
        <w:rPr>
          <w:rFonts w:asciiTheme="minorHAnsi" w:hAnsiTheme="minorHAnsi"/>
          <w:sz w:val="20"/>
          <w:szCs w:val="20"/>
        </w:rPr>
      </w:pPr>
    </w:p>
    <w:p>
      <w:pPr>
        <w:rPr>
          <w:rFonts w:asciiTheme="minorHAnsi" w:hAnsiTheme="minorHAnsi"/>
          <w:sz w:val="20"/>
          <w:szCs w:val="20"/>
        </w:rPr>
      </w:pPr>
    </w:p>
    <w:p>
      <w:pPr>
        <w:rPr>
          <w:rFonts w:asciiTheme="minorHAnsi" w:hAnsiTheme="minorHAnsi"/>
          <w:sz w:val="20"/>
          <w:szCs w:val="20"/>
        </w:rPr>
      </w:pPr>
    </w:p>
    <w:tbl>
      <w:tblPr>
        <w:tblW w:w="9830" w:type="dxa"/>
        <w:tblLook w:val="04A0" w:firstRow="1" w:lastRow="0" w:firstColumn="1" w:lastColumn="0" w:noHBand="0" w:noVBand="1"/>
      </w:tblPr>
      <w:tblGrid>
        <w:gridCol w:w="634"/>
        <w:gridCol w:w="5823"/>
        <w:gridCol w:w="1480"/>
        <w:gridCol w:w="1120"/>
        <w:gridCol w:w="879"/>
      </w:tblGrid>
      <w:tr>
        <w:trPr>
          <w:trHeight w:val="480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E2EFDA"/>
            <w:noWrap/>
            <w:vAlign w:val="bottom"/>
            <w:hideMark/>
          </w:tcPr>
          <w:p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8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2EFDA"/>
            <w:noWrap/>
            <w:vAlign w:val="center"/>
            <w:hideMark/>
          </w:tcPr>
          <w:p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1.   JAVNE POTREBE U KULTURI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plan 2022 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izvršenje 30.06.2022. 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INDEKS </w:t>
            </w:r>
          </w:p>
        </w:tc>
      </w:tr>
      <w:tr>
        <w:trPr>
          <w:trHeight w:val="300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1.1.</w:t>
            </w:r>
          </w:p>
        </w:tc>
        <w:tc>
          <w:tcPr>
            <w:tcW w:w="5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Financiranje projekata u kulturi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(kulturne manifestacije - troškovi organizacije)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50.000,00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20.837,79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41,68</w:t>
            </w:r>
          </w:p>
        </w:tc>
      </w:tr>
      <w:tr>
        <w:trPr>
          <w:trHeight w:val="480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5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Melitino proljeće, Dani kazališta (GFUK predstava), Poduzetničke večeri, Gljivarenje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>
        <w:trPr>
          <w:trHeight w:val="300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1.2.</w:t>
            </w:r>
          </w:p>
        </w:tc>
        <w:tc>
          <w:tcPr>
            <w:tcW w:w="5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Financiranje udruga u kulturi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90.000,00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-</w:t>
            </w:r>
          </w:p>
        </w:tc>
      </w:tr>
      <w:tr>
        <w:trPr>
          <w:trHeight w:val="300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1.3.</w:t>
            </w:r>
          </w:p>
        </w:tc>
        <w:tc>
          <w:tcPr>
            <w:tcW w:w="5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Financiranje nabave opreme za kulturne manifestacije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15.000,00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-</w:t>
            </w:r>
          </w:p>
        </w:tc>
      </w:tr>
      <w:tr>
        <w:trPr>
          <w:trHeight w:val="300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1.4.</w:t>
            </w:r>
          </w:p>
        </w:tc>
        <w:tc>
          <w:tcPr>
            <w:tcW w:w="5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Donacije vjerskim zajednicama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25.000,00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25.000,00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100,00</w:t>
            </w:r>
          </w:p>
        </w:tc>
      </w:tr>
      <w:tr>
        <w:trPr>
          <w:trHeight w:val="300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1.5.</w:t>
            </w:r>
          </w:p>
        </w:tc>
        <w:tc>
          <w:tcPr>
            <w:tcW w:w="5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Uređenje parkova -povijesni spomenici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100.000,00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-</w:t>
            </w:r>
          </w:p>
        </w:tc>
      </w:tr>
      <w:tr>
        <w:trPr>
          <w:trHeight w:val="300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1.6.</w:t>
            </w:r>
          </w:p>
        </w:tc>
        <w:tc>
          <w:tcPr>
            <w:tcW w:w="5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 Lokalni program mladih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20.000,00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-</w:t>
            </w:r>
          </w:p>
        </w:tc>
      </w:tr>
      <w:tr>
        <w:trPr>
          <w:trHeight w:val="300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E2EFDA"/>
            <w:noWrap/>
            <w:vAlign w:val="bottom"/>
            <w:hideMark/>
          </w:tcPr>
          <w:p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UKUPNO: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300.000,00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45.837,79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15,28</w:t>
            </w:r>
          </w:p>
        </w:tc>
      </w:tr>
      <w:tr>
        <w:trPr>
          <w:trHeight w:val="300"/>
        </w:trPr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8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000000"/>
                <w:sz w:val="18"/>
                <w:szCs w:val="18"/>
              </w:rPr>
              <w:t>Izvori financiranja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sz w:val="20"/>
                <w:szCs w:val="20"/>
              </w:rPr>
            </w:pPr>
          </w:p>
        </w:tc>
      </w:tr>
      <w:tr>
        <w:trPr>
          <w:trHeight w:val="300"/>
        </w:trPr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5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1.1.  Opći prihodi i primici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300.000,00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45.837,79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15,28</w:t>
            </w:r>
          </w:p>
        </w:tc>
      </w:tr>
      <w:tr>
        <w:trPr>
          <w:trHeight w:val="300"/>
        </w:trPr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jc w:val="center"/>
              <w:rPr>
                <w:sz w:val="20"/>
                <w:szCs w:val="20"/>
              </w:rPr>
            </w:pPr>
          </w:p>
        </w:tc>
      </w:tr>
      <w:tr>
        <w:trPr>
          <w:trHeight w:val="300"/>
        </w:trPr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5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jc w:val="right"/>
              <w:rPr>
                <w:sz w:val="20"/>
                <w:szCs w:val="20"/>
              </w:rPr>
            </w:pPr>
          </w:p>
        </w:tc>
      </w:tr>
      <w:tr>
        <w:trPr>
          <w:trHeight w:val="510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E2EFDA"/>
            <w:noWrap/>
            <w:vAlign w:val="bottom"/>
            <w:hideMark/>
          </w:tcPr>
          <w:p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8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2EFDA"/>
            <w:noWrap/>
            <w:vAlign w:val="center"/>
            <w:hideMark/>
          </w:tcPr>
          <w:p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2. USTANOVE U KULTURI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plan 2022 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izvršenje 30.06.2022. 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 INDEKS </w:t>
            </w:r>
          </w:p>
        </w:tc>
      </w:tr>
      <w:tr>
        <w:trPr>
          <w:trHeight w:val="300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2.1.</w:t>
            </w:r>
          </w:p>
        </w:tc>
        <w:tc>
          <w:tcPr>
            <w:tcW w:w="5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Dom kulture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40.000,00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68.511,43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171,28</w:t>
            </w:r>
          </w:p>
        </w:tc>
      </w:tr>
      <w:tr>
        <w:trPr>
          <w:trHeight w:val="300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2.1.1.</w:t>
            </w:r>
          </w:p>
        </w:tc>
        <w:tc>
          <w:tcPr>
            <w:tcW w:w="5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 Održavanje Doma kulture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30.000,00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45.386,43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151,29</w:t>
            </w:r>
          </w:p>
        </w:tc>
      </w:tr>
      <w:tr>
        <w:trPr>
          <w:trHeight w:val="300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2.1.2.</w:t>
            </w:r>
          </w:p>
        </w:tc>
        <w:tc>
          <w:tcPr>
            <w:tcW w:w="5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 Uređenje DOMA KULTURE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10.000,00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23.125,00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231,25</w:t>
            </w:r>
          </w:p>
        </w:tc>
      </w:tr>
      <w:tr>
        <w:trPr>
          <w:trHeight w:val="300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Nabava opreme za Dom kulture-stolice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23.125,00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-</w:t>
            </w:r>
          </w:p>
        </w:tc>
      </w:tr>
      <w:tr>
        <w:trPr>
          <w:trHeight w:val="300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Unutarnje uređenje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-</w:t>
            </w:r>
          </w:p>
        </w:tc>
      </w:tr>
      <w:tr>
        <w:trPr>
          <w:trHeight w:val="169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5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</w:tr>
      <w:tr>
        <w:trPr>
          <w:trHeight w:val="300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2.2.</w:t>
            </w:r>
          </w:p>
        </w:tc>
        <w:tc>
          <w:tcPr>
            <w:tcW w:w="5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Gradska knjižnica-proračunski korisnik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548.000,00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253.890,13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46,33</w:t>
            </w:r>
          </w:p>
        </w:tc>
      </w:tr>
      <w:tr>
        <w:trPr>
          <w:trHeight w:val="300"/>
        </w:trPr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2.2.1.</w:t>
            </w:r>
          </w:p>
        </w:tc>
        <w:tc>
          <w:tcPr>
            <w:tcW w:w="5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Redovna djelatnost financirana sredstvima Grada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473.000,00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253.890,13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53,68</w:t>
            </w:r>
          </w:p>
        </w:tc>
      </w:tr>
      <w:tr>
        <w:trPr>
          <w:trHeight w:val="300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2.2.2.</w:t>
            </w:r>
          </w:p>
        </w:tc>
        <w:tc>
          <w:tcPr>
            <w:tcW w:w="5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Redovna djelatnost financirana sredstvima korisnika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75.000,00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</w:t>
            </w:r>
          </w:p>
        </w:tc>
      </w:tr>
      <w:tr>
        <w:trPr>
          <w:trHeight w:val="300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E2EFDA"/>
            <w:noWrap/>
            <w:vAlign w:val="bottom"/>
            <w:hideMark/>
          </w:tcPr>
          <w:p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UKUPNO  2.1. +  2.2.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588.000,00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322.401,56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54,83</w:t>
            </w:r>
          </w:p>
        </w:tc>
      </w:tr>
      <w:tr>
        <w:trPr>
          <w:trHeight w:val="300"/>
        </w:trPr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8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000000"/>
                <w:sz w:val="18"/>
                <w:szCs w:val="18"/>
              </w:rPr>
              <w:t>Izvori financiranja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sz w:val="20"/>
                <w:szCs w:val="20"/>
              </w:rPr>
            </w:pPr>
          </w:p>
        </w:tc>
      </w:tr>
      <w:tr>
        <w:trPr>
          <w:trHeight w:val="300"/>
        </w:trPr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5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1.1.  Opći prihodi i primici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513.000,00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322.401,56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62,85</w:t>
            </w:r>
          </w:p>
        </w:tc>
      </w:tr>
      <w:tr>
        <w:trPr>
          <w:trHeight w:val="300"/>
        </w:trPr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4.6.  Prihodi za posebne namjene - Gradska knjižnica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20.000,00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</w:t>
            </w:r>
          </w:p>
        </w:tc>
      </w:tr>
      <w:tr>
        <w:trPr>
          <w:trHeight w:val="300"/>
        </w:trPr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5.3.2. Pomoći PK - Gradska knjižnica Oroslavje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55.000,00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-</w:t>
            </w:r>
          </w:p>
        </w:tc>
      </w:tr>
      <w:tr>
        <w:trPr>
          <w:trHeight w:val="300"/>
        </w:trPr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5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588.000,00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322.401,56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54,83</w:t>
            </w:r>
          </w:p>
        </w:tc>
      </w:tr>
    </w:tbl>
    <w:p>
      <w:pPr>
        <w:rPr>
          <w:rFonts w:asciiTheme="minorHAnsi" w:hAnsiTheme="minorHAnsi"/>
          <w:sz w:val="20"/>
          <w:szCs w:val="20"/>
        </w:rPr>
      </w:pPr>
    </w:p>
    <w:p>
      <w:pPr>
        <w:rPr>
          <w:rFonts w:asciiTheme="minorHAnsi" w:hAnsiTheme="minorHAnsi"/>
          <w:sz w:val="20"/>
          <w:szCs w:val="20"/>
        </w:rPr>
      </w:pPr>
    </w:p>
    <w:p>
      <w:pPr>
        <w:rPr>
          <w:rFonts w:asciiTheme="minorHAnsi" w:hAnsiTheme="minorHAnsi"/>
          <w:sz w:val="20"/>
          <w:szCs w:val="20"/>
        </w:rPr>
      </w:pPr>
    </w:p>
    <w:p>
      <w:pPr>
        <w:rPr>
          <w:rFonts w:asciiTheme="minorHAnsi" w:hAnsiTheme="minorHAnsi"/>
          <w:sz w:val="20"/>
          <w:szCs w:val="20"/>
        </w:rPr>
      </w:pPr>
    </w:p>
    <w:p>
      <w:pPr>
        <w:jc w:val="center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Članak 2.</w:t>
      </w:r>
    </w:p>
    <w:p>
      <w:pPr>
        <w:rPr>
          <w:sz w:val="20"/>
          <w:szCs w:val="20"/>
        </w:rPr>
      </w:pPr>
      <w:r>
        <w:rPr>
          <w:sz w:val="20"/>
          <w:szCs w:val="20"/>
        </w:rPr>
        <w:tab/>
        <w:t>Polugodišnje izvršenje programa  objavit će se u Službenom glasniku Krapinsko-zagorske županije i na web stanicama grada Oroslavja.</w:t>
      </w:r>
    </w:p>
    <w:p>
      <w:pPr>
        <w:rPr>
          <w:rFonts w:asciiTheme="minorHAnsi" w:hAnsiTheme="minorHAnsi"/>
          <w:sz w:val="20"/>
          <w:szCs w:val="20"/>
        </w:rPr>
      </w:pPr>
    </w:p>
    <w:p>
      <w:pPr>
        <w:rPr>
          <w:rFonts w:asciiTheme="minorHAnsi" w:hAnsiTheme="minorHAnsi"/>
          <w:sz w:val="20"/>
          <w:szCs w:val="20"/>
        </w:rPr>
      </w:pPr>
    </w:p>
    <w:p>
      <w:pPr>
        <w:rPr>
          <w:rFonts w:asciiTheme="minorHAnsi" w:hAnsiTheme="minorHAnsi"/>
          <w:sz w:val="20"/>
          <w:szCs w:val="20"/>
        </w:rPr>
      </w:pPr>
    </w:p>
    <w:p>
      <w:pPr>
        <w:rPr>
          <w:rFonts w:asciiTheme="minorHAnsi" w:hAnsiTheme="minorHAnsi"/>
          <w:sz w:val="20"/>
          <w:szCs w:val="20"/>
        </w:rPr>
      </w:pPr>
    </w:p>
    <w:p>
      <w:pPr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Dostaviti:</w:t>
      </w:r>
    </w:p>
    <w:p>
      <w:pPr>
        <w:rPr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1. </w:t>
      </w:r>
      <w:r>
        <w:rPr>
          <w:sz w:val="20"/>
          <w:szCs w:val="20"/>
        </w:rPr>
        <w:t>Ministarstvo financija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</w:t>
      </w:r>
    </w:p>
    <w:p>
      <w:pPr>
        <w:rPr>
          <w:rFonts w:asciiTheme="minorHAnsi" w:hAnsiTheme="minorHAnsi"/>
          <w:sz w:val="20"/>
          <w:szCs w:val="20"/>
        </w:rPr>
      </w:pPr>
      <w:r>
        <w:rPr>
          <w:sz w:val="20"/>
          <w:szCs w:val="20"/>
        </w:rPr>
        <w:t xml:space="preserve">    Sektor za financijski i proračunski nadzor  </w:t>
      </w:r>
      <w:r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  <w:t xml:space="preserve">                    </w:t>
      </w:r>
    </w:p>
    <w:p>
      <w:pPr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2. Arhiva, ovdje.  </w:t>
      </w:r>
    </w:p>
    <w:p>
      <w:pPr>
        <w:rPr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</w:r>
    </w:p>
    <w:p>
      <w:pPr>
        <w:rPr>
          <w:rFonts w:asciiTheme="minorHAnsi" w:hAnsiTheme="minorHAnsi"/>
          <w:sz w:val="20"/>
          <w:szCs w:val="20"/>
        </w:rPr>
      </w:pPr>
    </w:p>
    <w:p>
      <w:pPr>
        <w:ind w:left="6372" w:firstLine="708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PREDSJEDNIK</w:t>
      </w:r>
    </w:p>
    <w:p>
      <w:pPr>
        <w:ind w:left="5664" w:firstLine="708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Gradskog vijeća Oroslavje</w:t>
      </w:r>
    </w:p>
    <w:p>
      <w:pPr>
        <w:ind w:left="6372" w:firstLine="708"/>
        <w:rPr>
          <w:rFonts w:asciiTheme="minorHAnsi" w:hAnsiTheme="minorHAnsi"/>
          <w:sz w:val="20"/>
          <w:szCs w:val="20"/>
        </w:rPr>
      </w:pPr>
      <w:r>
        <w:rPr>
          <w:sz w:val="20"/>
          <w:szCs w:val="20"/>
        </w:rPr>
        <w:t xml:space="preserve">Kristijan </w:t>
      </w:r>
      <w:proofErr w:type="spellStart"/>
      <w:r>
        <w:rPr>
          <w:sz w:val="20"/>
          <w:szCs w:val="20"/>
        </w:rPr>
        <w:t>Sojč</w:t>
      </w:r>
      <w:proofErr w:type="spellEnd"/>
    </w:p>
    <w:p>
      <w:pPr>
        <w:rPr>
          <w:rFonts w:asciiTheme="minorHAnsi" w:hAnsiTheme="minorHAnsi"/>
          <w:sz w:val="20"/>
          <w:szCs w:val="20"/>
        </w:rPr>
      </w:pPr>
    </w:p>
    <w:p>
      <w:pPr>
        <w:rPr>
          <w:rFonts w:asciiTheme="minorHAnsi" w:hAnsiTheme="minorHAnsi"/>
          <w:sz w:val="20"/>
          <w:szCs w:val="20"/>
        </w:rPr>
      </w:pPr>
    </w:p>
    <w:p>
      <w:pPr>
        <w:rPr>
          <w:rFonts w:asciiTheme="minorHAnsi" w:hAnsiTheme="minorHAnsi"/>
          <w:sz w:val="20"/>
          <w:szCs w:val="20"/>
        </w:rPr>
      </w:pPr>
    </w:p>
    <w:p>
      <w:pPr>
        <w:rPr>
          <w:rFonts w:asciiTheme="minorHAnsi" w:hAnsiTheme="minorHAnsi"/>
          <w:sz w:val="20"/>
          <w:szCs w:val="20"/>
        </w:rPr>
      </w:pPr>
    </w:p>
    <w:p>
      <w:pPr>
        <w:rPr>
          <w:rFonts w:asciiTheme="minorHAnsi" w:hAnsiTheme="minorHAnsi"/>
          <w:sz w:val="16"/>
          <w:szCs w:val="16"/>
        </w:rPr>
      </w:pPr>
    </w:p>
    <w:p>
      <w:pPr>
        <w:rPr>
          <w:rFonts w:asciiTheme="minorHAnsi" w:hAnsiTheme="minorHAnsi"/>
          <w:sz w:val="16"/>
          <w:szCs w:val="16"/>
        </w:rPr>
      </w:pPr>
    </w:p>
    <w:p>
      <w:pPr>
        <w:rPr>
          <w:rFonts w:asciiTheme="minorHAnsi" w:hAnsiTheme="minorHAnsi"/>
          <w:sz w:val="16"/>
          <w:szCs w:val="16"/>
        </w:rPr>
      </w:pPr>
    </w:p>
    <w:p>
      <w:pPr>
        <w:rPr>
          <w:rFonts w:asciiTheme="minorHAnsi" w:hAnsiTheme="minorHAnsi"/>
          <w:sz w:val="16"/>
          <w:szCs w:val="16"/>
        </w:rPr>
      </w:pPr>
    </w:p>
    <w:p>
      <w:pPr>
        <w:rPr>
          <w:rFonts w:asciiTheme="minorHAnsi" w:hAnsiTheme="minorHAnsi"/>
          <w:sz w:val="16"/>
          <w:szCs w:val="16"/>
        </w:rPr>
      </w:pPr>
    </w:p>
    <w:p>
      <w:pPr>
        <w:rPr>
          <w:rFonts w:asciiTheme="minorHAnsi" w:hAnsiTheme="minorHAnsi"/>
          <w:sz w:val="16"/>
          <w:szCs w:val="16"/>
        </w:rPr>
      </w:pPr>
    </w:p>
    <w:p>
      <w:pPr>
        <w:rPr>
          <w:rFonts w:asciiTheme="minorHAnsi" w:hAnsiTheme="minorHAnsi"/>
          <w:sz w:val="16"/>
          <w:szCs w:val="16"/>
        </w:rPr>
      </w:pPr>
    </w:p>
    <w:p>
      <w:pPr>
        <w:rPr>
          <w:rFonts w:asciiTheme="minorHAnsi" w:hAnsiTheme="minorHAnsi"/>
          <w:sz w:val="16"/>
          <w:szCs w:val="16"/>
        </w:rPr>
      </w:pPr>
    </w:p>
    <w:p>
      <w:pPr>
        <w:rPr>
          <w:rFonts w:asciiTheme="minorHAnsi" w:hAnsiTheme="minorHAnsi"/>
          <w:sz w:val="16"/>
          <w:szCs w:val="16"/>
        </w:rPr>
      </w:pPr>
    </w:p>
    <w:p>
      <w:pPr>
        <w:rPr>
          <w:rFonts w:asciiTheme="minorHAnsi" w:hAnsiTheme="minorHAnsi"/>
          <w:sz w:val="16"/>
          <w:szCs w:val="16"/>
        </w:rPr>
      </w:pPr>
    </w:p>
    <w:p>
      <w:pPr>
        <w:rPr>
          <w:rFonts w:asciiTheme="minorHAnsi" w:hAnsiTheme="minorHAnsi"/>
          <w:sz w:val="16"/>
          <w:szCs w:val="16"/>
        </w:rPr>
      </w:pPr>
    </w:p>
    <w:p>
      <w:pPr>
        <w:rPr>
          <w:rFonts w:asciiTheme="minorHAnsi" w:hAnsiTheme="minorHAnsi"/>
          <w:sz w:val="16"/>
          <w:szCs w:val="16"/>
        </w:rPr>
      </w:pPr>
    </w:p>
    <w:p>
      <w:pPr>
        <w:rPr>
          <w:rFonts w:asciiTheme="minorHAnsi" w:hAnsiTheme="minorHAnsi"/>
          <w:sz w:val="16"/>
          <w:szCs w:val="16"/>
        </w:rPr>
      </w:pPr>
    </w:p>
    <w:p>
      <w:pPr>
        <w:rPr>
          <w:rFonts w:asciiTheme="minorHAnsi" w:hAnsiTheme="minorHAnsi"/>
          <w:sz w:val="16"/>
          <w:szCs w:val="16"/>
        </w:rPr>
      </w:pPr>
    </w:p>
    <w:p>
      <w:pPr>
        <w:rPr>
          <w:rFonts w:asciiTheme="minorHAnsi" w:hAnsiTheme="minorHAnsi"/>
          <w:sz w:val="16"/>
          <w:szCs w:val="16"/>
        </w:rPr>
      </w:pPr>
    </w:p>
    <w:p>
      <w:pPr>
        <w:rPr>
          <w:rFonts w:asciiTheme="minorHAnsi" w:hAnsiTheme="minorHAnsi"/>
          <w:sz w:val="16"/>
          <w:szCs w:val="16"/>
        </w:rPr>
      </w:pPr>
    </w:p>
    <w:p>
      <w:pPr>
        <w:rPr>
          <w:rFonts w:asciiTheme="minorHAnsi" w:hAnsiTheme="minorHAnsi"/>
          <w:sz w:val="16"/>
          <w:szCs w:val="16"/>
        </w:rPr>
      </w:pPr>
    </w:p>
    <w:p>
      <w:pPr>
        <w:rPr>
          <w:rFonts w:asciiTheme="minorHAnsi" w:hAnsiTheme="minorHAnsi"/>
          <w:sz w:val="16"/>
          <w:szCs w:val="16"/>
        </w:rPr>
      </w:pPr>
    </w:p>
    <w:p>
      <w:pPr>
        <w:rPr>
          <w:rFonts w:asciiTheme="minorHAnsi" w:hAnsiTheme="minorHAnsi"/>
          <w:sz w:val="16"/>
          <w:szCs w:val="16"/>
        </w:rPr>
      </w:pPr>
    </w:p>
    <w:p>
      <w:pPr>
        <w:rPr>
          <w:rFonts w:asciiTheme="minorHAnsi" w:hAnsiTheme="minorHAnsi"/>
          <w:sz w:val="16"/>
          <w:szCs w:val="16"/>
        </w:rPr>
      </w:pPr>
    </w:p>
    <w:p>
      <w:pPr>
        <w:rPr>
          <w:rFonts w:asciiTheme="minorHAnsi" w:hAnsiTheme="minorHAnsi"/>
          <w:sz w:val="16"/>
          <w:szCs w:val="16"/>
        </w:rPr>
      </w:pPr>
    </w:p>
    <w:p>
      <w:pPr>
        <w:rPr>
          <w:rFonts w:asciiTheme="minorHAnsi" w:hAnsiTheme="minorHAnsi"/>
          <w:sz w:val="16"/>
          <w:szCs w:val="16"/>
        </w:rPr>
      </w:pPr>
    </w:p>
    <w:p>
      <w:pPr>
        <w:rPr>
          <w:rFonts w:asciiTheme="minorHAnsi" w:hAnsiTheme="minorHAnsi"/>
          <w:sz w:val="16"/>
          <w:szCs w:val="16"/>
        </w:rPr>
      </w:pPr>
    </w:p>
    <w:p>
      <w:pPr>
        <w:rPr>
          <w:rFonts w:asciiTheme="minorHAnsi" w:hAnsiTheme="minorHAnsi"/>
          <w:sz w:val="16"/>
          <w:szCs w:val="16"/>
        </w:rPr>
      </w:pPr>
    </w:p>
    <w:sectPr>
      <w:pgSz w:w="11906" w:h="16838"/>
      <w:pgMar w:top="624" w:right="964" w:bottom="680" w:left="119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221E3D"/>
    <w:multiLevelType w:val="hybridMultilevel"/>
    <w:tmpl w:val="FDDC8E8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6E21FD"/>
    <w:multiLevelType w:val="hybridMultilevel"/>
    <w:tmpl w:val="1A28D222"/>
    <w:lvl w:ilvl="0" w:tplc="7068A63E">
      <w:start w:val="29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2" w15:restartNumberingAfterBreak="0">
    <w:nsid w:val="08FB3D83"/>
    <w:multiLevelType w:val="hybridMultilevel"/>
    <w:tmpl w:val="BAA6F83E"/>
    <w:lvl w:ilvl="0" w:tplc="A2562B84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b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2169E7"/>
    <w:multiLevelType w:val="hybridMultilevel"/>
    <w:tmpl w:val="45D0C8F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B90EFB"/>
    <w:multiLevelType w:val="hybridMultilevel"/>
    <w:tmpl w:val="B52AA5DA"/>
    <w:lvl w:ilvl="0" w:tplc="1144CFB4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785" w:hanging="360"/>
      </w:pPr>
    </w:lvl>
    <w:lvl w:ilvl="2" w:tplc="041A001B" w:tentative="1">
      <w:start w:val="1"/>
      <w:numFmt w:val="lowerRoman"/>
      <w:lvlText w:val="%3."/>
      <w:lvlJc w:val="right"/>
      <w:pPr>
        <w:ind w:left="2505" w:hanging="180"/>
      </w:pPr>
    </w:lvl>
    <w:lvl w:ilvl="3" w:tplc="041A000F" w:tentative="1">
      <w:start w:val="1"/>
      <w:numFmt w:val="decimal"/>
      <w:lvlText w:val="%4."/>
      <w:lvlJc w:val="left"/>
      <w:pPr>
        <w:ind w:left="3225" w:hanging="360"/>
      </w:pPr>
    </w:lvl>
    <w:lvl w:ilvl="4" w:tplc="041A0019" w:tentative="1">
      <w:start w:val="1"/>
      <w:numFmt w:val="lowerLetter"/>
      <w:lvlText w:val="%5."/>
      <w:lvlJc w:val="left"/>
      <w:pPr>
        <w:ind w:left="3945" w:hanging="360"/>
      </w:pPr>
    </w:lvl>
    <w:lvl w:ilvl="5" w:tplc="041A001B" w:tentative="1">
      <w:start w:val="1"/>
      <w:numFmt w:val="lowerRoman"/>
      <w:lvlText w:val="%6."/>
      <w:lvlJc w:val="right"/>
      <w:pPr>
        <w:ind w:left="4665" w:hanging="180"/>
      </w:pPr>
    </w:lvl>
    <w:lvl w:ilvl="6" w:tplc="041A000F" w:tentative="1">
      <w:start w:val="1"/>
      <w:numFmt w:val="decimal"/>
      <w:lvlText w:val="%7."/>
      <w:lvlJc w:val="left"/>
      <w:pPr>
        <w:ind w:left="5385" w:hanging="360"/>
      </w:pPr>
    </w:lvl>
    <w:lvl w:ilvl="7" w:tplc="041A0019" w:tentative="1">
      <w:start w:val="1"/>
      <w:numFmt w:val="lowerLetter"/>
      <w:lvlText w:val="%8."/>
      <w:lvlJc w:val="left"/>
      <w:pPr>
        <w:ind w:left="6105" w:hanging="360"/>
      </w:pPr>
    </w:lvl>
    <w:lvl w:ilvl="8" w:tplc="041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 w15:restartNumberingAfterBreak="0">
    <w:nsid w:val="2ED674D9"/>
    <w:multiLevelType w:val="hybridMultilevel"/>
    <w:tmpl w:val="532C1EF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284CEF"/>
    <w:multiLevelType w:val="hybridMultilevel"/>
    <w:tmpl w:val="5FCA38F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5A70F7"/>
    <w:multiLevelType w:val="hybridMultilevel"/>
    <w:tmpl w:val="AA0E543A"/>
    <w:lvl w:ilvl="0" w:tplc="716A54C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B3B65A0"/>
    <w:multiLevelType w:val="hybridMultilevel"/>
    <w:tmpl w:val="B52AA5DA"/>
    <w:lvl w:ilvl="0" w:tplc="1144CFB4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785" w:hanging="360"/>
      </w:pPr>
    </w:lvl>
    <w:lvl w:ilvl="2" w:tplc="041A001B" w:tentative="1">
      <w:start w:val="1"/>
      <w:numFmt w:val="lowerRoman"/>
      <w:lvlText w:val="%3."/>
      <w:lvlJc w:val="right"/>
      <w:pPr>
        <w:ind w:left="2505" w:hanging="180"/>
      </w:pPr>
    </w:lvl>
    <w:lvl w:ilvl="3" w:tplc="041A000F" w:tentative="1">
      <w:start w:val="1"/>
      <w:numFmt w:val="decimal"/>
      <w:lvlText w:val="%4."/>
      <w:lvlJc w:val="left"/>
      <w:pPr>
        <w:ind w:left="3225" w:hanging="360"/>
      </w:pPr>
    </w:lvl>
    <w:lvl w:ilvl="4" w:tplc="041A0019" w:tentative="1">
      <w:start w:val="1"/>
      <w:numFmt w:val="lowerLetter"/>
      <w:lvlText w:val="%5."/>
      <w:lvlJc w:val="left"/>
      <w:pPr>
        <w:ind w:left="3945" w:hanging="360"/>
      </w:pPr>
    </w:lvl>
    <w:lvl w:ilvl="5" w:tplc="041A001B" w:tentative="1">
      <w:start w:val="1"/>
      <w:numFmt w:val="lowerRoman"/>
      <w:lvlText w:val="%6."/>
      <w:lvlJc w:val="right"/>
      <w:pPr>
        <w:ind w:left="4665" w:hanging="180"/>
      </w:pPr>
    </w:lvl>
    <w:lvl w:ilvl="6" w:tplc="041A000F" w:tentative="1">
      <w:start w:val="1"/>
      <w:numFmt w:val="decimal"/>
      <w:lvlText w:val="%7."/>
      <w:lvlJc w:val="left"/>
      <w:pPr>
        <w:ind w:left="5385" w:hanging="360"/>
      </w:pPr>
    </w:lvl>
    <w:lvl w:ilvl="7" w:tplc="041A0019" w:tentative="1">
      <w:start w:val="1"/>
      <w:numFmt w:val="lowerLetter"/>
      <w:lvlText w:val="%8."/>
      <w:lvlJc w:val="left"/>
      <w:pPr>
        <w:ind w:left="6105" w:hanging="360"/>
      </w:pPr>
    </w:lvl>
    <w:lvl w:ilvl="8" w:tplc="041A001B" w:tentative="1">
      <w:start w:val="1"/>
      <w:numFmt w:val="lowerRoman"/>
      <w:lvlText w:val="%9."/>
      <w:lvlJc w:val="right"/>
      <w:pPr>
        <w:ind w:left="6825" w:hanging="180"/>
      </w:pPr>
    </w:lvl>
  </w:abstractNum>
  <w:num w:numId="1" w16cid:durableId="497379387">
    <w:abstractNumId w:val="1"/>
  </w:num>
  <w:num w:numId="2" w16cid:durableId="1129007248">
    <w:abstractNumId w:val="7"/>
  </w:num>
  <w:num w:numId="3" w16cid:durableId="2117747825">
    <w:abstractNumId w:val="4"/>
  </w:num>
  <w:num w:numId="4" w16cid:durableId="1729919572">
    <w:abstractNumId w:val="8"/>
  </w:num>
  <w:num w:numId="5" w16cid:durableId="1760364424">
    <w:abstractNumId w:val="3"/>
  </w:num>
  <w:num w:numId="6" w16cid:durableId="569847765">
    <w:abstractNumId w:val="0"/>
  </w:num>
  <w:num w:numId="7" w16cid:durableId="1226987358">
    <w:abstractNumId w:val="6"/>
  </w:num>
  <w:num w:numId="8" w16cid:durableId="518932101">
    <w:abstractNumId w:val="5"/>
  </w:num>
  <w:num w:numId="9" w16cid:durableId="11531767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DC3D70A7-2770-4898-81F5-7D082E22D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Naslov2">
    <w:name w:val="heading 2"/>
    <w:basedOn w:val="Normal"/>
    <w:next w:val="Normal"/>
    <w:qFormat/>
    <w:pPr>
      <w:keepNext/>
      <w:outlineLvl w:val="1"/>
    </w:pPr>
    <w:rPr>
      <w:b/>
      <w:bCs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Pr>
      <w:sz w:val="24"/>
      <w:szCs w:val="24"/>
    </w:rPr>
  </w:style>
  <w:style w:type="paragraph" w:styleId="Tekstbalonia">
    <w:name w:val="Balloon Text"/>
    <w:basedOn w:val="Normal"/>
    <w:link w:val="TekstbaloniaChar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Tahoma" w:hAnsi="Tahoma" w:cs="Tahoma"/>
      <w:sz w:val="16"/>
      <w:szCs w:val="16"/>
    </w:rPr>
  </w:style>
  <w:style w:type="paragraph" w:styleId="Odlomakpopisa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6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1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8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2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3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64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44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8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44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9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63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21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04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89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32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0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4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23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4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9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8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3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7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7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9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0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7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45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12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1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14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31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53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65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8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08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83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8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3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3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82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9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1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66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1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53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4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92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1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15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37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0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5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33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33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4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9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8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06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7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2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30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9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00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0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7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9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5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0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9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24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6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9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76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41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8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58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3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4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8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64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7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8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1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6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1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6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6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55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05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1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33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4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5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74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3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9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2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5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1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16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18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09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3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6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9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62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3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56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95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0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5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4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5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5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6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54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0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8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3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8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66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13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2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2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28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9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8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96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5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2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3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7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5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0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5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4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0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23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5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32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8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90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0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5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1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89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9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03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4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46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8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9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9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8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7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3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4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3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8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2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7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7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6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2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0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2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3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2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34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0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9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3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4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93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44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9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46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9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7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1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8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7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8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8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5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1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2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9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9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1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7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4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4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0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3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00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04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7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57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1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7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1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3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8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66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8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8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5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8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14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9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9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6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9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4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1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7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86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7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0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5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5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0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41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42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1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20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3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83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2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4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7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2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17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9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2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9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1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32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67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3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8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6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2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2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0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2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4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7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1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8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9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5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1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3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43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3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0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8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6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59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9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6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9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8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56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5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7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4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08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4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9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2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2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8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37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7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6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6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7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0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8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43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3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9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75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7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12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5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7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8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5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86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8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4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14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3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6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3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E2099965-FED5-494C-9716-EC95616DDA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404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 </vt:lpstr>
    </vt:vector>
  </TitlesOfParts>
  <Company>Grad Oroslavje</Company>
  <LinksUpToDate>false</LinksUpToDate>
  <CharactersWithSpaces>2702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Štefica Grabušić</dc:creator>
  <cp:keywords/>
  <dc:description/>
  <cp:lastModifiedBy>Korisnik</cp:lastModifiedBy>
  <cp:revision>3</cp:revision>
  <cp:lastPrinted>2022-10-18T12:10:00Z</cp:lastPrinted>
  <dcterms:created xsi:type="dcterms:W3CDTF">2022-10-18T11:09:00Z</dcterms:created>
  <dcterms:modified xsi:type="dcterms:W3CDTF">2022-10-18T12:10:00Z</dcterms:modified>
</cp:coreProperties>
</file>